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r>
        <w:rPr>
          <w:rFonts w:ascii="Times New Roman"/>
          <w:sz w:val="20"/>
        </w:rPr>
        <w:drawing>
          <wp:anchor distT="0" distB="0" distL="114300" distR="114300" simplePos="0" relativeHeight="251659264" behindDoc="0" locked="0" layoutInCell="1" allowOverlap="1">
            <wp:simplePos x="0" y="0"/>
            <wp:positionH relativeFrom="margin">
              <wp:posOffset>0</wp:posOffset>
            </wp:positionH>
            <wp:positionV relativeFrom="paragraph">
              <wp:posOffset>-622935</wp:posOffset>
            </wp:positionV>
            <wp:extent cx="7814310" cy="1454785"/>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14017" cy="1455089"/>
                    </a:xfrm>
                    <a:prstGeom prst="rect">
                      <a:avLst/>
                    </a:prstGeom>
                  </pic:spPr>
                </pic:pic>
              </a:graphicData>
            </a:graphic>
          </wp:anchor>
        </w:drawing>
      </w:r>
    </w:p>
    <w:p>
      <w:pPr>
        <w:pStyle w:val="3"/>
        <w:rPr>
          <w:rFonts w:ascii="Times New Roman"/>
          <w:sz w:val="20"/>
        </w:rPr>
      </w:pPr>
    </w:p>
    <w:p>
      <w:pPr>
        <w:pStyle w:val="3"/>
        <w:rPr>
          <w:rFonts w:ascii="Times New Roman"/>
          <w:sz w:val="20"/>
        </w:rPr>
      </w:pPr>
      <w:r>
        <w:rPr>
          <w:rFonts w:ascii="Times New Roman"/>
          <w:sz w:val="20"/>
        </w:rPr>
        <mc:AlternateContent>
          <mc:Choice Requires="wps">
            <w:drawing>
              <wp:anchor distT="45720" distB="45720" distL="114300" distR="114300" simplePos="0" relativeHeight="251660288" behindDoc="0" locked="0" layoutInCell="1" allowOverlap="1">
                <wp:simplePos x="0" y="0"/>
                <wp:positionH relativeFrom="column">
                  <wp:posOffset>4419600</wp:posOffset>
                </wp:positionH>
                <wp:positionV relativeFrom="paragraph">
                  <wp:posOffset>107315</wp:posOffset>
                </wp:positionV>
                <wp:extent cx="975995" cy="238125"/>
                <wp:effectExtent l="0" t="0" r="0" b="9525"/>
                <wp:wrapSquare wrapText="bothSides"/>
                <wp:docPr id="4" name="文字方塊 4"/>
                <wp:cNvGraphicFramePr/>
                <a:graphic xmlns:a="http://schemas.openxmlformats.org/drawingml/2006/main">
                  <a:graphicData uri="http://schemas.microsoft.com/office/word/2010/wordprocessingShape">
                    <wps:wsp>
                      <wps:cNvSpPr txBox="1">
                        <a:spLocks noChangeArrowheads="1"/>
                      </wps:cNvSpPr>
                      <wps:spPr bwMode="auto">
                        <a:xfrm>
                          <a:off x="0" y="0"/>
                          <a:ext cx="975995" cy="238125"/>
                        </a:xfrm>
                        <a:prstGeom prst="rect">
                          <a:avLst/>
                        </a:prstGeom>
                        <a:noFill/>
                        <a:ln>
                          <a:noFill/>
                        </a:ln>
                      </wps:spPr>
                      <wps:txbx>
                        <w:txbxContent>
                          <w:p>
                            <w:pPr>
                              <w:rPr>
                                <w:rFonts w:asciiTheme="minorHAnsi" w:hAnsiTheme="minorHAnsi" w:cstheme="minorHAnsi"/>
                                <w:b/>
                                <w:bCs/>
                                <w:sz w:val="18"/>
                                <w:szCs w:val="18"/>
                              </w:rPr>
                            </w:pPr>
                            <w:r>
                              <w:fldChar w:fldCharType="begin"/>
                            </w:r>
                            <w:r>
                              <w:instrText xml:space="preserve"> HYPERLINK "http://www.blintl.com/" </w:instrText>
                            </w:r>
                            <w:r>
                              <w:fldChar w:fldCharType="separate"/>
                            </w:r>
                            <w:r>
                              <w:rPr>
                                <w:rStyle w:val="9"/>
                                <w:rFonts w:asciiTheme="minorHAnsi" w:hAnsiTheme="minorHAnsi" w:cstheme="minorHAnsi"/>
                                <w:b/>
                                <w:bCs/>
                                <w:sz w:val="18"/>
                                <w:szCs w:val="18"/>
                              </w:rPr>
                              <w:t>www.blintl.com</w:t>
                            </w:r>
                            <w:r>
                              <w:rPr>
                                <w:rStyle w:val="9"/>
                                <w:rFonts w:asciiTheme="minorHAnsi" w:hAnsiTheme="minorHAnsi" w:cstheme="minorHAnsi"/>
                                <w:b/>
                                <w:bCs/>
                                <w:sz w:val="18"/>
                                <w:szCs w:val="18"/>
                              </w:rPr>
                              <w:fldChar w:fldCharType="end"/>
                            </w:r>
                          </w:p>
                        </w:txbxContent>
                      </wps:txbx>
                      <wps:bodyPr rot="0" vert="horz" wrap="square" lIns="91440" tIns="45720" rIns="91440" bIns="45720" anchor="t" anchorCtr="0" upright="1">
                        <a:noAutofit/>
                      </wps:bodyPr>
                    </wps:wsp>
                  </a:graphicData>
                </a:graphic>
              </wp:anchor>
            </w:drawing>
          </mc:Choice>
          <mc:Fallback>
            <w:pict>
              <v:shape id="文字方塊 4" o:spid="_x0000_s1026" o:spt="202" type="#_x0000_t202" style="position:absolute;left:0pt;margin-left:348pt;margin-top:8.45pt;height:18.75pt;width:76.85pt;mso-wrap-distance-bottom:3.6pt;mso-wrap-distance-left:9pt;mso-wrap-distance-right:9pt;mso-wrap-distance-top:3.6pt;z-index:251660288;mso-width-relative:page;mso-height-relative:page;" filled="f" stroked="f" coordsize="21600,21600" o:gfxdata="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L5iA9cAAAAJAQAADwAAAAAAAAABACAAAAAiAAAAZHJzL2Rv&#10;d25yZXYueG1sUEsBAhQAFAAAAAgAh07iQB1ufbYCAgAAyQMAAA4AAAAAAAAAAQAgAAAAJgEAAGRy&#10;cy9lMm9Eb2MueG1sUEsFBgAAAAAGAAYAWQEAAJoFAAAAAA==&#10;">
                <v:fill on="f" focussize="0,0"/>
                <v:stroke on="f"/>
                <v:imagedata o:title=""/>
                <o:lock v:ext="edit" aspectratio="f"/>
                <v:textbox>
                  <w:txbxContent>
                    <w:p>
                      <w:pPr>
                        <w:rPr>
                          <w:rFonts w:asciiTheme="minorHAnsi" w:hAnsiTheme="minorHAnsi" w:cstheme="minorHAnsi"/>
                          <w:b/>
                          <w:bCs/>
                          <w:sz w:val="18"/>
                          <w:szCs w:val="18"/>
                        </w:rPr>
                      </w:pPr>
                      <w:r>
                        <w:fldChar w:fldCharType="begin"/>
                      </w:r>
                      <w:r>
                        <w:instrText xml:space="preserve"> HYPERLINK "http://www.blintl.com/" </w:instrText>
                      </w:r>
                      <w:r>
                        <w:fldChar w:fldCharType="separate"/>
                      </w:r>
                      <w:r>
                        <w:rPr>
                          <w:rStyle w:val="9"/>
                          <w:rFonts w:asciiTheme="minorHAnsi" w:hAnsiTheme="minorHAnsi" w:cstheme="minorHAnsi"/>
                          <w:b/>
                          <w:bCs/>
                          <w:sz w:val="18"/>
                          <w:szCs w:val="18"/>
                        </w:rPr>
                        <w:t>www.blintl.com</w:t>
                      </w:r>
                      <w:r>
                        <w:rPr>
                          <w:rStyle w:val="9"/>
                          <w:rFonts w:asciiTheme="minorHAnsi" w:hAnsiTheme="minorHAnsi" w:cstheme="minorHAnsi"/>
                          <w:b/>
                          <w:bCs/>
                          <w:sz w:val="18"/>
                          <w:szCs w:val="18"/>
                        </w:rPr>
                        <w:fldChar w:fldCharType="end"/>
                      </w:r>
                    </w:p>
                  </w:txbxContent>
                </v:textbox>
                <w10:wrap type="square"/>
              </v:shape>
            </w:pict>
          </mc:Fallback>
        </mc:AlternateContent>
      </w: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spacing w:before="25" w:line="429" w:lineRule="auto"/>
        <w:ind w:left="3379" w:right="2910" w:firstLine="1097"/>
        <w:rPr>
          <w:rFonts w:ascii="Trebuchet MS"/>
          <w:b/>
          <w:sz w:val="40"/>
        </w:rPr>
      </w:pPr>
    </w:p>
    <w:p>
      <w:pPr>
        <w:spacing w:before="25" w:line="429" w:lineRule="auto"/>
        <w:ind w:left="3379" w:right="2910" w:firstLine="23"/>
        <w:rPr>
          <w:rFonts w:ascii="Trebuchet MS"/>
          <w:b/>
          <w:sz w:val="40"/>
        </w:rPr>
      </w:pPr>
      <w:r>
        <w:rPr>
          <w:rFonts w:ascii="Trebuchet MS"/>
          <w:b/>
          <w:sz w:val="40"/>
        </w:rPr>
        <w:t xml:space="preserve">Best Leader International Ltd </w:t>
      </w:r>
      <w:r>
        <w:rPr>
          <w:rFonts w:ascii="Trebuchet MS"/>
          <w:b/>
          <w:color w:val="C00000"/>
          <w:w w:val="90"/>
          <w:sz w:val="40"/>
        </w:rPr>
        <w:t>CLIENT CATEGORISATION</w:t>
      </w:r>
      <w:r>
        <w:rPr>
          <w:rFonts w:ascii="Trebuchet MS"/>
          <w:b/>
          <w:color w:val="C00000"/>
          <w:spacing w:val="-57"/>
          <w:w w:val="90"/>
          <w:sz w:val="40"/>
        </w:rPr>
        <w:t xml:space="preserve"> </w:t>
      </w:r>
      <w:r>
        <w:rPr>
          <w:rFonts w:ascii="Trebuchet MS"/>
          <w:b/>
          <w:color w:val="C00000"/>
          <w:w w:val="90"/>
          <w:sz w:val="40"/>
        </w:rPr>
        <w:t>POLICY</w:t>
      </w:r>
    </w:p>
    <w:p>
      <w:pPr>
        <w:spacing w:line="429" w:lineRule="auto"/>
        <w:rPr>
          <w:rFonts w:ascii="Trebuchet MS"/>
          <w:sz w:val="40"/>
        </w:rPr>
        <w:sectPr>
          <w:headerReference r:id="rId5" w:type="first"/>
          <w:footerReference r:id="rId8" w:type="first"/>
          <w:headerReference r:id="rId3" w:type="default"/>
          <w:footerReference r:id="rId6" w:type="default"/>
          <w:headerReference r:id="rId4" w:type="even"/>
          <w:footerReference r:id="rId7" w:type="even"/>
          <w:type w:val="continuous"/>
          <w:pgSz w:w="12240" w:h="15840"/>
          <w:pgMar w:top="160" w:right="0" w:bottom="280" w:left="0" w:header="720" w:footer="720" w:gutter="0"/>
          <w:cols w:space="720" w:num="1"/>
        </w:sectPr>
      </w:pPr>
    </w:p>
    <w:p>
      <w:pPr>
        <w:pStyle w:val="3"/>
        <w:rPr>
          <w:rFonts w:ascii="Trebuchet MS"/>
          <w:b/>
          <w:sz w:val="20"/>
        </w:rPr>
      </w:pPr>
    </w:p>
    <w:p>
      <w:pPr>
        <w:pStyle w:val="3"/>
        <w:rPr>
          <w:rFonts w:ascii="Trebuchet MS"/>
          <w:b/>
          <w:sz w:val="20"/>
        </w:rPr>
      </w:pPr>
    </w:p>
    <w:p>
      <w:pPr>
        <w:pStyle w:val="3"/>
        <w:spacing w:before="9"/>
        <w:rPr>
          <w:rFonts w:ascii="Trebuchet MS"/>
          <w:b/>
          <w:sz w:val="19"/>
        </w:rPr>
      </w:pPr>
    </w:p>
    <w:p>
      <w:pPr>
        <w:pStyle w:val="3"/>
        <w:spacing w:before="9"/>
        <w:rPr>
          <w:rFonts w:ascii="Trebuchet MS"/>
          <w:b/>
          <w:sz w:val="19"/>
        </w:rPr>
      </w:pPr>
    </w:p>
    <w:p>
      <w:pPr>
        <w:pStyle w:val="3"/>
        <w:spacing w:before="9"/>
        <w:rPr>
          <w:rFonts w:ascii="Trebuchet MS"/>
          <w:b/>
          <w:sz w:val="19"/>
        </w:rPr>
      </w:pPr>
    </w:p>
    <w:p>
      <w:pPr>
        <w:pStyle w:val="3"/>
        <w:spacing w:before="9"/>
        <w:rPr>
          <w:rFonts w:ascii="Trebuchet MS"/>
          <w:b/>
          <w:sz w:val="19"/>
        </w:rPr>
      </w:pPr>
    </w:p>
    <w:p>
      <w:pPr>
        <w:pStyle w:val="3"/>
        <w:spacing w:before="9"/>
        <w:rPr>
          <w:rFonts w:ascii="Trebuchet MS"/>
          <w:b/>
          <w:sz w:val="19"/>
        </w:rPr>
      </w:pPr>
    </w:p>
    <w:p>
      <w:pPr>
        <w:pStyle w:val="3"/>
        <w:spacing w:before="9"/>
        <w:rPr>
          <w:rFonts w:ascii="Trebuchet MS"/>
          <w:b/>
          <w:sz w:val="19"/>
        </w:rPr>
      </w:pPr>
    </w:p>
    <w:p>
      <w:pPr>
        <w:pStyle w:val="3"/>
        <w:spacing w:before="9"/>
        <w:rPr>
          <w:rFonts w:ascii="Trebuchet MS"/>
          <w:b/>
          <w:sz w:val="19"/>
        </w:rPr>
      </w:pPr>
    </w:p>
    <w:p>
      <w:pPr>
        <w:ind w:left="5388" w:right="4821"/>
        <w:jc w:val="center"/>
        <w:rPr>
          <w:rFonts w:ascii="Trebuchet MS"/>
          <w:b/>
          <w:sz w:val="24"/>
        </w:rPr>
      </w:pPr>
      <w:r>
        <w:rPr>
          <w:rFonts w:ascii="Trebuchet MS"/>
          <w:b/>
          <w:color w:val="C00000"/>
          <w:sz w:val="24"/>
        </w:rPr>
        <w:t>Table of Contents</w:t>
      </w:r>
    </w:p>
    <w:sdt>
      <w:sdtPr>
        <w:rPr>
          <w:rFonts w:ascii="Arial" w:hAnsi="Arial" w:eastAsia="Arial" w:cs="Arial"/>
          <w:b w:val="0"/>
          <w:bCs w:val="0"/>
          <w:sz w:val="22"/>
          <w:szCs w:val="22"/>
        </w:rPr>
        <w:id w:val="1802342814"/>
        <w:docPartObj>
          <w:docPartGallery w:val="Table of Contents"/>
          <w:docPartUnique/>
        </w:docPartObj>
      </w:sdtPr>
      <w:sdtEndPr>
        <w:rPr>
          <w:rFonts w:ascii="Arial" w:hAnsi="Arial" w:eastAsia="Arial" w:cs="Arial"/>
          <w:b w:val="0"/>
          <w:bCs w:val="0"/>
          <w:sz w:val="22"/>
          <w:szCs w:val="22"/>
        </w:rPr>
      </w:sdtEndPr>
      <w:sdtContent>
        <w:p>
          <w:pPr>
            <w:pStyle w:val="6"/>
            <w:numPr>
              <w:ilvl w:val="0"/>
              <w:numId w:val="1"/>
            </w:numPr>
            <w:tabs>
              <w:tab w:val="left" w:pos="1879"/>
              <w:tab w:val="left" w:pos="1880"/>
              <w:tab w:val="right" w:leader="dot" w:pos="10791"/>
            </w:tabs>
            <w:spacing w:before="262"/>
            <w:ind w:hanging="439"/>
          </w:pPr>
          <w:r>
            <w:fldChar w:fldCharType="begin"/>
          </w:r>
          <w:r>
            <w:instrText xml:space="preserve">TOC \o "1-1" \h \z \u </w:instrText>
          </w:r>
          <w:r>
            <w:fldChar w:fldCharType="separate"/>
          </w:r>
          <w:r>
            <w:fldChar w:fldCharType="begin"/>
          </w:r>
          <w:r>
            <w:instrText xml:space="preserve"> HYPERLINK \l "_TOC_250005" </w:instrText>
          </w:r>
          <w:r>
            <w:fldChar w:fldCharType="separate"/>
          </w:r>
          <w:r>
            <w:rPr>
              <w:color w:val="C00000"/>
            </w:rPr>
            <w:t>Introduction</w:t>
          </w:r>
          <w:r>
            <w:rPr>
              <w:color w:val="C00000"/>
            </w:rPr>
            <w:tab/>
          </w:r>
          <w:r>
            <w:t>3</w:t>
          </w:r>
          <w:r>
            <w:fldChar w:fldCharType="end"/>
          </w:r>
        </w:p>
        <w:p>
          <w:pPr>
            <w:pStyle w:val="6"/>
            <w:numPr>
              <w:ilvl w:val="0"/>
              <w:numId w:val="1"/>
            </w:numPr>
            <w:tabs>
              <w:tab w:val="left" w:pos="1879"/>
              <w:tab w:val="left" w:pos="1880"/>
              <w:tab w:val="right" w:leader="dot" w:pos="10791"/>
            </w:tabs>
            <w:ind w:hanging="439"/>
          </w:pPr>
          <w:r>
            <w:fldChar w:fldCharType="begin"/>
          </w:r>
          <w:r>
            <w:instrText xml:space="preserve"> HYPERLINK \l "_TOC_250004" </w:instrText>
          </w:r>
          <w:r>
            <w:fldChar w:fldCharType="separate"/>
          </w:r>
          <w:r>
            <w:rPr>
              <w:color w:val="C00000"/>
            </w:rPr>
            <w:t>Categories</w:t>
          </w:r>
          <w:r>
            <w:rPr>
              <w:color w:val="C00000"/>
              <w:spacing w:val="-37"/>
            </w:rPr>
            <w:t xml:space="preserve"> </w:t>
          </w:r>
          <w:r>
            <w:rPr>
              <w:color w:val="C00000"/>
            </w:rPr>
            <w:t>of</w:t>
          </w:r>
          <w:r>
            <w:rPr>
              <w:color w:val="C00000"/>
              <w:spacing w:val="-38"/>
            </w:rPr>
            <w:t xml:space="preserve"> </w:t>
          </w:r>
          <w:r>
            <w:rPr>
              <w:color w:val="C00000"/>
            </w:rPr>
            <w:t>Clients</w:t>
          </w:r>
          <w:r>
            <w:rPr>
              <w:color w:val="C00000"/>
              <w:spacing w:val="-37"/>
            </w:rPr>
            <w:t xml:space="preserve"> </w:t>
          </w:r>
          <w:r>
            <w:rPr>
              <w:color w:val="C00000"/>
            </w:rPr>
            <w:t>who</w:t>
          </w:r>
          <w:r>
            <w:rPr>
              <w:color w:val="C00000"/>
              <w:spacing w:val="-36"/>
            </w:rPr>
            <w:t xml:space="preserve"> </w:t>
          </w:r>
          <w:r>
            <w:rPr>
              <w:color w:val="C00000"/>
            </w:rPr>
            <w:t>are</w:t>
          </w:r>
          <w:r>
            <w:rPr>
              <w:color w:val="C00000"/>
              <w:spacing w:val="-38"/>
            </w:rPr>
            <w:t xml:space="preserve"> </w:t>
          </w:r>
          <w:r>
            <w:rPr>
              <w:color w:val="C00000"/>
            </w:rPr>
            <w:t>considered</w:t>
          </w:r>
          <w:r>
            <w:rPr>
              <w:color w:val="C00000"/>
              <w:spacing w:val="-37"/>
            </w:rPr>
            <w:t xml:space="preserve"> </w:t>
          </w:r>
          <w:r>
            <w:rPr>
              <w:color w:val="C00000"/>
            </w:rPr>
            <w:t>to</w:t>
          </w:r>
          <w:r>
            <w:rPr>
              <w:color w:val="C00000"/>
              <w:spacing w:val="-38"/>
            </w:rPr>
            <w:t xml:space="preserve"> </w:t>
          </w:r>
          <w:r>
            <w:rPr>
              <w:color w:val="C00000"/>
            </w:rPr>
            <w:t>be</w:t>
          </w:r>
          <w:r>
            <w:rPr>
              <w:color w:val="C00000"/>
              <w:spacing w:val="-38"/>
            </w:rPr>
            <w:t xml:space="preserve"> </w:t>
          </w:r>
          <w:r>
            <w:rPr>
              <w:color w:val="C00000"/>
            </w:rPr>
            <w:t>professionals</w:t>
          </w:r>
          <w:r>
            <w:rPr>
              <w:color w:val="C00000"/>
              <w:spacing w:val="-38"/>
            </w:rPr>
            <w:t xml:space="preserve"> </w:t>
          </w:r>
          <w:r>
            <w:rPr>
              <w:color w:val="C00000"/>
            </w:rPr>
            <w:t>by</w:t>
          </w:r>
          <w:r>
            <w:rPr>
              <w:color w:val="C00000"/>
              <w:spacing w:val="-38"/>
            </w:rPr>
            <w:t xml:space="preserve"> </w:t>
          </w:r>
          <w:r>
            <w:rPr>
              <w:color w:val="C00000"/>
            </w:rPr>
            <w:t>Default</w:t>
          </w:r>
          <w:r>
            <w:rPr>
              <w:color w:val="C00000"/>
            </w:rPr>
            <w:tab/>
          </w:r>
          <w:r>
            <w:t>4</w:t>
          </w:r>
          <w:r>
            <w:fldChar w:fldCharType="end"/>
          </w:r>
        </w:p>
        <w:p>
          <w:pPr>
            <w:pStyle w:val="6"/>
            <w:numPr>
              <w:ilvl w:val="0"/>
              <w:numId w:val="1"/>
            </w:numPr>
            <w:tabs>
              <w:tab w:val="left" w:pos="1879"/>
              <w:tab w:val="left" w:pos="1880"/>
              <w:tab w:val="right" w:leader="dot" w:pos="10791"/>
            </w:tabs>
            <w:spacing w:before="259"/>
            <w:ind w:hanging="439"/>
          </w:pPr>
          <w:r>
            <w:fldChar w:fldCharType="begin"/>
          </w:r>
          <w:r>
            <w:instrText xml:space="preserve"> HYPERLINK \l "_TOC_250003" </w:instrText>
          </w:r>
          <w:r>
            <w:fldChar w:fldCharType="separate"/>
          </w:r>
          <w:r>
            <w:rPr>
              <w:color w:val="C00000"/>
            </w:rPr>
            <w:t>Clients</w:t>
          </w:r>
          <w:r>
            <w:rPr>
              <w:color w:val="C00000"/>
              <w:spacing w:val="-28"/>
            </w:rPr>
            <w:t xml:space="preserve"> </w:t>
          </w:r>
          <w:r>
            <w:rPr>
              <w:color w:val="C00000"/>
            </w:rPr>
            <w:t>who</w:t>
          </w:r>
          <w:r>
            <w:rPr>
              <w:color w:val="C00000"/>
              <w:spacing w:val="-26"/>
            </w:rPr>
            <w:t xml:space="preserve"> </w:t>
          </w:r>
          <w:r>
            <w:rPr>
              <w:color w:val="C00000"/>
            </w:rPr>
            <w:t>may</w:t>
          </w:r>
          <w:r>
            <w:rPr>
              <w:color w:val="C00000"/>
              <w:spacing w:val="-27"/>
            </w:rPr>
            <w:t xml:space="preserve"> </w:t>
          </w:r>
          <w:r>
            <w:rPr>
              <w:color w:val="C00000"/>
            </w:rPr>
            <w:t>be</w:t>
          </w:r>
          <w:r>
            <w:rPr>
              <w:color w:val="C00000"/>
              <w:spacing w:val="-28"/>
            </w:rPr>
            <w:t xml:space="preserve"> </w:t>
          </w:r>
          <w:r>
            <w:rPr>
              <w:color w:val="C00000"/>
            </w:rPr>
            <w:t>treated</w:t>
          </w:r>
          <w:r>
            <w:rPr>
              <w:color w:val="C00000"/>
              <w:spacing w:val="-26"/>
            </w:rPr>
            <w:t xml:space="preserve"> </w:t>
          </w:r>
          <w:r>
            <w:rPr>
              <w:color w:val="C00000"/>
            </w:rPr>
            <w:t>as</w:t>
          </w:r>
          <w:r>
            <w:rPr>
              <w:color w:val="C00000"/>
              <w:spacing w:val="-26"/>
            </w:rPr>
            <w:t xml:space="preserve"> </w:t>
          </w:r>
          <w:r>
            <w:rPr>
              <w:color w:val="C00000"/>
            </w:rPr>
            <w:t>professionals</w:t>
          </w:r>
          <w:r>
            <w:rPr>
              <w:color w:val="C00000"/>
              <w:spacing w:val="-29"/>
            </w:rPr>
            <w:t xml:space="preserve"> </w:t>
          </w:r>
          <w:r>
            <w:rPr>
              <w:color w:val="C00000"/>
            </w:rPr>
            <w:t>on</w:t>
          </w:r>
          <w:r>
            <w:rPr>
              <w:color w:val="C00000"/>
              <w:spacing w:val="-27"/>
            </w:rPr>
            <w:t xml:space="preserve"> </w:t>
          </w:r>
          <w:r>
            <w:rPr>
              <w:color w:val="C00000"/>
            </w:rPr>
            <w:t>request</w:t>
          </w:r>
          <w:r>
            <w:rPr>
              <w:color w:val="C00000"/>
            </w:rPr>
            <w:tab/>
          </w:r>
          <w:r>
            <w:t>5</w:t>
          </w:r>
          <w:r>
            <w:fldChar w:fldCharType="end"/>
          </w:r>
        </w:p>
        <w:p>
          <w:pPr>
            <w:pStyle w:val="6"/>
            <w:numPr>
              <w:ilvl w:val="0"/>
              <w:numId w:val="1"/>
            </w:numPr>
            <w:tabs>
              <w:tab w:val="left" w:pos="1879"/>
              <w:tab w:val="left" w:pos="1880"/>
              <w:tab w:val="right" w:leader="dot" w:pos="10791"/>
            </w:tabs>
            <w:ind w:hanging="439"/>
          </w:pPr>
          <w:r>
            <w:fldChar w:fldCharType="begin"/>
          </w:r>
          <w:r>
            <w:instrText xml:space="preserve"> HYPERLINK \l "_TOC_250002" </w:instrText>
          </w:r>
          <w:r>
            <w:fldChar w:fldCharType="separate"/>
          </w:r>
          <w:r>
            <w:rPr>
              <w:color w:val="C00000"/>
              <w:w w:val="95"/>
            </w:rPr>
            <w:t>Eligible</w:t>
          </w:r>
          <w:r>
            <w:rPr>
              <w:color w:val="C00000"/>
              <w:spacing w:val="-17"/>
              <w:w w:val="95"/>
            </w:rPr>
            <w:t xml:space="preserve"> </w:t>
          </w:r>
          <w:r>
            <w:rPr>
              <w:color w:val="C00000"/>
              <w:w w:val="95"/>
            </w:rPr>
            <w:t>Counterparties</w:t>
          </w:r>
          <w:r>
            <w:rPr>
              <w:color w:val="C00000"/>
              <w:w w:val="95"/>
            </w:rPr>
            <w:tab/>
          </w:r>
          <w:r>
            <w:rPr>
              <w:w w:val="95"/>
            </w:rPr>
            <w:t>7</w:t>
          </w:r>
          <w:r>
            <w:rPr>
              <w:w w:val="95"/>
            </w:rPr>
            <w:fldChar w:fldCharType="end"/>
          </w:r>
        </w:p>
        <w:p>
          <w:pPr>
            <w:pStyle w:val="6"/>
            <w:numPr>
              <w:ilvl w:val="0"/>
              <w:numId w:val="1"/>
            </w:numPr>
            <w:tabs>
              <w:tab w:val="left" w:pos="1879"/>
              <w:tab w:val="left" w:pos="1880"/>
              <w:tab w:val="right" w:leader="dot" w:pos="10791"/>
            </w:tabs>
            <w:spacing w:before="262"/>
            <w:ind w:hanging="439"/>
          </w:pPr>
          <w:r>
            <w:fldChar w:fldCharType="begin"/>
          </w:r>
          <w:r>
            <w:instrText xml:space="preserve"> HYPERLINK \l "_TOC_250001" </w:instrText>
          </w:r>
          <w:r>
            <w:fldChar w:fldCharType="separate"/>
          </w:r>
          <w:r>
            <w:rPr>
              <w:color w:val="C00000"/>
            </w:rPr>
            <w:t>Request for</w:t>
          </w:r>
          <w:r>
            <w:rPr>
              <w:color w:val="C00000"/>
              <w:spacing w:val="-44"/>
            </w:rPr>
            <w:t xml:space="preserve"> </w:t>
          </w:r>
          <w:r>
            <w:rPr>
              <w:color w:val="C00000"/>
            </w:rPr>
            <w:t>Different</w:t>
          </w:r>
          <w:r>
            <w:rPr>
              <w:color w:val="C00000"/>
              <w:spacing w:val="-23"/>
            </w:rPr>
            <w:t xml:space="preserve"> </w:t>
          </w:r>
          <w:r>
            <w:rPr>
              <w:color w:val="C00000"/>
            </w:rPr>
            <w:t>Classification</w:t>
          </w:r>
          <w:r>
            <w:rPr>
              <w:color w:val="C00000"/>
            </w:rPr>
            <w:tab/>
          </w:r>
          <w:r>
            <w:t>8</w:t>
          </w:r>
          <w:r>
            <w:fldChar w:fldCharType="end"/>
          </w:r>
        </w:p>
        <w:p>
          <w:pPr>
            <w:pStyle w:val="6"/>
            <w:numPr>
              <w:ilvl w:val="0"/>
              <w:numId w:val="1"/>
            </w:numPr>
            <w:tabs>
              <w:tab w:val="left" w:pos="1879"/>
              <w:tab w:val="left" w:pos="1880"/>
              <w:tab w:val="right" w:leader="dot" w:pos="10791"/>
            </w:tabs>
            <w:spacing w:before="262"/>
            <w:ind w:hanging="439"/>
          </w:pPr>
          <w:r>
            <w:fldChar w:fldCharType="begin"/>
          </w:r>
          <w:r>
            <w:instrText xml:space="preserve"> HYPERLINK \l "_TOC_250000" </w:instrText>
          </w:r>
          <w:r>
            <w:fldChar w:fldCharType="separate"/>
          </w:r>
          <w:r>
            <w:rPr>
              <w:color w:val="C00000"/>
            </w:rPr>
            <w:t>Protection</w:t>
          </w:r>
          <w:r>
            <w:rPr>
              <w:color w:val="C00000"/>
              <w:spacing w:val="-19"/>
            </w:rPr>
            <w:t xml:space="preserve"> </w:t>
          </w:r>
          <w:r>
            <w:rPr>
              <w:color w:val="C00000"/>
            </w:rPr>
            <w:t>Rights</w:t>
          </w:r>
          <w:r>
            <w:rPr>
              <w:color w:val="C00000"/>
            </w:rPr>
            <w:tab/>
          </w:r>
          <w:r>
            <w:t>8</w:t>
          </w:r>
          <w:r>
            <w:fldChar w:fldCharType="end"/>
          </w:r>
        </w:p>
        <w:p>
          <w:r>
            <w:fldChar w:fldCharType="end"/>
          </w:r>
        </w:p>
      </w:sdtContent>
    </w:sdt>
    <w:p>
      <w:pPr>
        <w:sectPr>
          <w:headerReference r:id="rId9" w:type="default"/>
          <w:footerReference r:id="rId10" w:type="default"/>
          <w:pgSz w:w="12240" w:h="15840"/>
          <w:pgMar w:top="1180" w:right="0" w:bottom="1360" w:left="0" w:header="755" w:footer="1163" w:gutter="0"/>
          <w:pgNumType w:start="2"/>
          <w:cols w:space="720" w:num="1"/>
        </w:sectPr>
      </w:pPr>
    </w:p>
    <w:p>
      <w:pPr>
        <w:pStyle w:val="3"/>
        <w:spacing w:before="11"/>
        <w:rPr>
          <w:rFonts w:ascii="Trebuchet MS"/>
          <w:b/>
          <w:sz w:val="21"/>
        </w:rPr>
      </w:pPr>
    </w:p>
    <w:p>
      <w:pPr>
        <w:pStyle w:val="2"/>
        <w:numPr>
          <w:ilvl w:val="0"/>
          <w:numId w:val="2"/>
        </w:numPr>
        <w:tabs>
          <w:tab w:val="left" w:pos="2006"/>
          <w:tab w:val="left" w:pos="2007"/>
        </w:tabs>
        <w:ind w:hanging="566"/>
        <w:rPr>
          <w:color w:val="C00000"/>
        </w:rPr>
      </w:pPr>
      <w:bookmarkStart w:id="0" w:name="_TOC_250005"/>
      <w:bookmarkEnd w:id="0"/>
      <w:r>
        <w:rPr>
          <w:color w:val="C00000"/>
        </w:rPr>
        <w:t>Introduction</w:t>
      </w:r>
    </w:p>
    <w:p>
      <w:pPr>
        <w:pStyle w:val="3"/>
        <w:rPr>
          <w:rFonts w:ascii="Trebuchet MS"/>
          <w:b/>
        </w:rPr>
      </w:pPr>
    </w:p>
    <w:p>
      <w:pPr>
        <w:pStyle w:val="3"/>
        <w:spacing w:before="10"/>
        <w:rPr>
          <w:rFonts w:ascii="Trebuchet MS"/>
          <w:b/>
          <w:sz w:val="20"/>
        </w:rPr>
      </w:pPr>
    </w:p>
    <w:p>
      <w:pPr>
        <w:pStyle w:val="11"/>
        <w:numPr>
          <w:ilvl w:val="2"/>
          <w:numId w:val="2"/>
        </w:numPr>
        <w:tabs>
          <w:tab w:val="left" w:pos="2434"/>
        </w:tabs>
        <w:spacing w:before="101" w:line="381" w:lineRule="auto"/>
        <w:ind w:right="1434"/>
        <w:jc w:val="both"/>
        <w:rPr>
          <w:sz w:val="24"/>
        </w:rPr>
      </w:pPr>
      <w:r>
        <w:rPr>
          <w:sz w:val="24"/>
        </w:rPr>
        <w:t>Best Leader International Ltd (hereinafter referred to as the “Company”), is incorporated under the laws of Saint Vincent and the Grenadines with Registration 25515 BC 2019 having its Suite 310, Griffith Corporate Centre, Beachmont, Kingstown, St. Vincent and the Grenadines,, Saint Vincent and the Grenadines. The Company is authorised as an International Business Company under the International Business Companies (Amendment and Consolidation) Act, Chapter 149 of the Revised Laws of Saint Vincent and Grenadines, 2009 (herein the “Law”).</w:t>
      </w:r>
    </w:p>
    <w:p>
      <w:pPr>
        <w:pStyle w:val="3"/>
        <w:spacing w:before="1"/>
        <w:rPr>
          <w:sz w:val="31"/>
        </w:rPr>
      </w:pPr>
    </w:p>
    <w:p>
      <w:pPr>
        <w:pStyle w:val="11"/>
        <w:numPr>
          <w:ilvl w:val="1"/>
          <w:numId w:val="2"/>
        </w:numPr>
        <w:tabs>
          <w:tab w:val="left" w:pos="2007"/>
        </w:tabs>
        <w:spacing w:line="381" w:lineRule="auto"/>
        <w:ind w:right="1434" w:hanging="566"/>
        <w:jc w:val="both"/>
        <w:rPr>
          <w:sz w:val="24"/>
        </w:rPr>
      </w:pPr>
      <w:bookmarkStart w:id="1" w:name="_Hlk19718760"/>
      <w:r>
        <w:rPr>
          <w:sz w:val="24"/>
        </w:rPr>
        <w:t>The objects of the Company are all subject matters not forbidden by International Business Companies (Amendment and Consolidation) Act, Chapter 149 of the Revised Laws of Saint Vincent and the Grenadines, 2009, in particular but not exclusively all commercial, financial, lending, borrowing, trading, service activities and the participation in other enterprises as well as to provide brokerage, training and managed account services in currencies, commodities, indexes, CFDs and leveraged financial instruments.</w:t>
      </w:r>
    </w:p>
    <w:bookmarkEnd w:id="1"/>
    <w:p>
      <w:pPr>
        <w:pStyle w:val="3"/>
        <w:spacing w:before="6"/>
        <w:rPr>
          <w:szCs w:val="22"/>
        </w:rPr>
      </w:pPr>
    </w:p>
    <w:p>
      <w:pPr>
        <w:pStyle w:val="11"/>
        <w:numPr>
          <w:ilvl w:val="1"/>
          <w:numId w:val="2"/>
        </w:numPr>
        <w:tabs>
          <w:tab w:val="left" w:pos="2007"/>
        </w:tabs>
        <w:spacing w:line="384" w:lineRule="auto"/>
        <w:ind w:right="1442" w:hanging="566"/>
        <w:jc w:val="both"/>
        <w:rPr>
          <w:sz w:val="24"/>
        </w:rPr>
      </w:pPr>
      <w:bookmarkStart w:id="2" w:name="_Hlk19718823"/>
      <w:r>
        <w:rPr>
          <w:sz w:val="24"/>
        </w:rPr>
        <w:t>Under the Law, the Company is required to classify all its Clients into one of the following three categories:</w:t>
      </w:r>
    </w:p>
    <w:p>
      <w:pPr>
        <w:pStyle w:val="3"/>
        <w:spacing w:before="10"/>
        <w:rPr>
          <w:sz w:val="30"/>
        </w:rPr>
      </w:pPr>
    </w:p>
    <w:p>
      <w:pPr>
        <w:pStyle w:val="11"/>
        <w:numPr>
          <w:ilvl w:val="2"/>
          <w:numId w:val="2"/>
        </w:numPr>
        <w:tabs>
          <w:tab w:val="left" w:pos="2434"/>
        </w:tabs>
        <w:spacing w:line="381" w:lineRule="auto"/>
        <w:ind w:right="1440"/>
        <w:jc w:val="both"/>
        <w:rPr>
          <w:sz w:val="24"/>
        </w:rPr>
      </w:pPr>
      <w:r>
        <w:rPr>
          <w:rFonts w:ascii="Trebuchet MS"/>
          <w:b/>
          <w:color w:val="C00000"/>
          <w:sz w:val="24"/>
        </w:rPr>
        <w:t>Retail</w:t>
      </w:r>
      <w:r>
        <w:rPr>
          <w:rFonts w:ascii="Trebuchet MS"/>
          <w:b/>
          <w:color w:val="C00000"/>
          <w:spacing w:val="-10"/>
          <w:sz w:val="24"/>
        </w:rPr>
        <w:t xml:space="preserve"> </w:t>
      </w:r>
      <w:r>
        <w:rPr>
          <w:rFonts w:ascii="Trebuchet MS"/>
          <w:b/>
          <w:color w:val="C00000"/>
          <w:sz w:val="24"/>
        </w:rPr>
        <w:t>Client</w:t>
      </w:r>
      <w:r>
        <w:rPr>
          <w:sz w:val="24"/>
        </w:rPr>
        <w:t xml:space="preserve"> is a Client who is not a professional Client by default or an eligible counterparty. A retail Client receives the highest possible level of protection.</w:t>
      </w:r>
    </w:p>
    <w:p>
      <w:pPr>
        <w:pStyle w:val="11"/>
        <w:numPr>
          <w:ilvl w:val="2"/>
          <w:numId w:val="2"/>
        </w:numPr>
        <w:tabs>
          <w:tab w:val="left" w:pos="2434"/>
        </w:tabs>
        <w:spacing w:before="100" w:line="381" w:lineRule="auto"/>
        <w:ind w:right="1433"/>
        <w:jc w:val="both"/>
        <w:rPr>
          <w:sz w:val="24"/>
        </w:rPr>
      </w:pPr>
      <w:r>
        <w:rPr>
          <w:rFonts w:ascii="Trebuchet MS"/>
          <w:b/>
          <w:color w:val="C00000"/>
          <w:w w:val="90"/>
          <w:sz w:val="24"/>
        </w:rPr>
        <w:t>Professional</w:t>
      </w:r>
      <w:r>
        <w:rPr>
          <w:rFonts w:ascii="Trebuchet MS"/>
          <w:b/>
          <w:color w:val="C00000"/>
          <w:spacing w:val="-12"/>
          <w:w w:val="90"/>
          <w:sz w:val="24"/>
        </w:rPr>
        <w:t xml:space="preserve"> </w:t>
      </w:r>
      <w:r>
        <w:rPr>
          <w:rFonts w:ascii="Trebuchet MS"/>
          <w:b/>
          <w:color w:val="C00000"/>
          <w:w w:val="90"/>
          <w:sz w:val="24"/>
        </w:rPr>
        <w:t>Client</w:t>
      </w:r>
      <w:r>
        <w:rPr>
          <w:rFonts w:ascii="Trebuchet MS"/>
          <w:b/>
          <w:color w:val="C00000"/>
          <w:spacing w:val="-11"/>
          <w:w w:val="90"/>
          <w:sz w:val="24"/>
        </w:rPr>
        <w:t xml:space="preserve"> </w:t>
      </w:r>
      <w:r>
        <w:rPr>
          <w:sz w:val="24"/>
        </w:rPr>
        <w:t xml:space="preserve">is a Client who possesses the experience, knowledge and expertise to make his own investment decisions and properly assess the risks that he incurs. In Order to be considered a professional Client, the Client must comply with the criteria set out in paragraph </w:t>
      </w:r>
      <w:r>
        <w:fldChar w:fldCharType="begin"/>
      </w:r>
      <w:r>
        <w:instrText xml:space="preserve"> HYPERLINK \l "_bookmark0" </w:instrText>
      </w:r>
      <w:r>
        <w:fldChar w:fldCharType="separate"/>
      </w:r>
      <w:r>
        <w:rPr>
          <w:sz w:val="24"/>
        </w:rPr>
        <w:t>2</w:t>
      </w:r>
      <w:r>
        <w:rPr>
          <w:sz w:val="24"/>
        </w:rPr>
        <w:fldChar w:fldCharType="end"/>
      </w:r>
      <w:r>
        <w:rPr>
          <w:sz w:val="24"/>
        </w:rPr>
        <w:t>of this Policy.</w:t>
      </w:r>
    </w:p>
    <w:p>
      <w:pPr>
        <w:pStyle w:val="11"/>
        <w:numPr>
          <w:ilvl w:val="2"/>
          <w:numId w:val="2"/>
        </w:numPr>
        <w:tabs>
          <w:tab w:val="left" w:pos="2434"/>
        </w:tabs>
        <w:spacing w:line="379" w:lineRule="auto"/>
        <w:ind w:right="1436"/>
        <w:jc w:val="both"/>
        <w:rPr>
          <w:sz w:val="24"/>
        </w:rPr>
      </w:pPr>
      <w:r>
        <w:rPr>
          <w:rFonts w:ascii="Trebuchet MS"/>
          <w:b/>
          <w:color w:val="C00000"/>
          <w:w w:val="95"/>
          <w:sz w:val="24"/>
        </w:rPr>
        <w:t>Eligible</w:t>
      </w:r>
      <w:r>
        <w:rPr>
          <w:rFonts w:ascii="Trebuchet MS"/>
          <w:b/>
          <w:color w:val="C00000"/>
          <w:spacing w:val="-53"/>
          <w:w w:val="95"/>
          <w:sz w:val="24"/>
        </w:rPr>
        <w:t xml:space="preserve"> </w:t>
      </w:r>
      <w:r>
        <w:rPr>
          <w:rFonts w:ascii="Trebuchet MS"/>
          <w:b/>
          <w:color w:val="C00000"/>
          <w:w w:val="95"/>
          <w:sz w:val="24"/>
        </w:rPr>
        <w:t>Counterparty</w:t>
      </w:r>
      <w:r>
        <w:rPr>
          <w:rFonts w:ascii="Trebuchet MS"/>
          <w:b/>
          <w:color w:val="C00000"/>
          <w:spacing w:val="-51"/>
          <w:w w:val="95"/>
          <w:sz w:val="24"/>
        </w:rPr>
        <w:t xml:space="preserve"> </w:t>
      </w:r>
      <w:r>
        <w:rPr>
          <w:sz w:val="24"/>
        </w:rPr>
        <w:t>is a type of Professional Clients, applicable only when the service provided to such Professional Client is of receiving &amp; transmitting and/or executing Orders (see paragraph 5 below).</w:t>
      </w:r>
    </w:p>
    <w:bookmarkEnd w:id="2"/>
    <w:p>
      <w:pPr>
        <w:spacing w:line="379" w:lineRule="auto"/>
        <w:jc w:val="both"/>
        <w:rPr>
          <w:sz w:val="24"/>
        </w:rPr>
        <w:sectPr>
          <w:pgSz w:w="12240" w:h="15840"/>
          <w:pgMar w:top="1180" w:right="0" w:bottom="1380" w:left="0" w:header="755" w:footer="1163" w:gutter="0"/>
          <w:cols w:space="720" w:num="1"/>
        </w:sectPr>
      </w:pPr>
    </w:p>
    <w:p>
      <w:pPr>
        <w:pStyle w:val="3"/>
        <w:spacing w:before="5"/>
        <w:rPr>
          <w:sz w:val="17"/>
        </w:rPr>
      </w:pPr>
    </w:p>
    <w:p>
      <w:pPr>
        <w:pStyle w:val="2"/>
        <w:numPr>
          <w:ilvl w:val="0"/>
          <w:numId w:val="2"/>
        </w:numPr>
        <w:tabs>
          <w:tab w:val="left" w:pos="2006"/>
          <w:tab w:val="left" w:pos="2007"/>
        </w:tabs>
        <w:spacing w:before="54"/>
        <w:ind w:hanging="566"/>
        <w:rPr>
          <w:color w:val="C00000"/>
        </w:rPr>
      </w:pPr>
      <w:bookmarkStart w:id="3" w:name="_bookmark0"/>
      <w:bookmarkEnd w:id="3"/>
      <w:bookmarkStart w:id="4" w:name="_TOC_250004"/>
      <w:r>
        <w:rPr>
          <w:color w:val="C00000"/>
        </w:rPr>
        <w:t>Categories</w:t>
      </w:r>
      <w:r>
        <w:rPr>
          <w:color w:val="C00000"/>
          <w:spacing w:val="-30"/>
        </w:rPr>
        <w:t xml:space="preserve"> </w:t>
      </w:r>
      <w:r>
        <w:rPr>
          <w:color w:val="C00000"/>
        </w:rPr>
        <w:t>of</w:t>
      </w:r>
      <w:r>
        <w:rPr>
          <w:color w:val="C00000"/>
          <w:spacing w:val="-30"/>
        </w:rPr>
        <w:t xml:space="preserve"> </w:t>
      </w:r>
      <w:r>
        <w:rPr>
          <w:color w:val="C00000"/>
        </w:rPr>
        <w:t>Clients</w:t>
      </w:r>
      <w:r>
        <w:rPr>
          <w:color w:val="C00000"/>
          <w:spacing w:val="-30"/>
        </w:rPr>
        <w:t xml:space="preserve"> </w:t>
      </w:r>
      <w:r>
        <w:rPr>
          <w:color w:val="C00000"/>
        </w:rPr>
        <w:t>who</w:t>
      </w:r>
      <w:r>
        <w:rPr>
          <w:color w:val="C00000"/>
          <w:spacing w:val="-28"/>
        </w:rPr>
        <w:t xml:space="preserve"> </w:t>
      </w:r>
      <w:r>
        <w:rPr>
          <w:color w:val="C00000"/>
        </w:rPr>
        <w:t>are</w:t>
      </w:r>
      <w:r>
        <w:rPr>
          <w:color w:val="C00000"/>
          <w:spacing w:val="-30"/>
        </w:rPr>
        <w:t xml:space="preserve"> </w:t>
      </w:r>
      <w:r>
        <w:rPr>
          <w:color w:val="C00000"/>
        </w:rPr>
        <w:t>considered</w:t>
      </w:r>
      <w:r>
        <w:rPr>
          <w:color w:val="C00000"/>
          <w:spacing w:val="-30"/>
        </w:rPr>
        <w:t xml:space="preserve"> </w:t>
      </w:r>
      <w:r>
        <w:rPr>
          <w:color w:val="C00000"/>
        </w:rPr>
        <w:t>to</w:t>
      </w:r>
      <w:r>
        <w:rPr>
          <w:color w:val="C00000"/>
          <w:spacing w:val="-30"/>
        </w:rPr>
        <w:t xml:space="preserve"> </w:t>
      </w:r>
      <w:r>
        <w:rPr>
          <w:color w:val="C00000"/>
        </w:rPr>
        <w:t>be</w:t>
      </w:r>
      <w:r>
        <w:rPr>
          <w:color w:val="C00000"/>
          <w:spacing w:val="-32"/>
        </w:rPr>
        <w:t xml:space="preserve"> </w:t>
      </w:r>
      <w:r>
        <w:rPr>
          <w:color w:val="C00000"/>
        </w:rPr>
        <w:t>professionals</w:t>
      </w:r>
      <w:r>
        <w:rPr>
          <w:color w:val="C00000"/>
          <w:spacing w:val="-30"/>
        </w:rPr>
        <w:t xml:space="preserve"> </w:t>
      </w:r>
      <w:r>
        <w:rPr>
          <w:color w:val="C00000"/>
        </w:rPr>
        <w:t>by</w:t>
      </w:r>
      <w:r>
        <w:rPr>
          <w:color w:val="C00000"/>
          <w:spacing w:val="-30"/>
        </w:rPr>
        <w:t xml:space="preserve"> </w:t>
      </w:r>
      <w:bookmarkEnd w:id="4"/>
      <w:r>
        <w:rPr>
          <w:color w:val="C00000"/>
        </w:rPr>
        <w:t>Default</w:t>
      </w:r>
    </w:p>
    <w:p>
      <w:pPr>
        <w:pStyle w:val="3"/>
        <w:rPr>
          <w:rFonts w:ascii="Trebuchet MS"/>
          <w:b/>
        </w:rPr>
      </w:pPr>
    </w:p>
    <w:p>
      <w:pPr>
        <w:pStyle w:val="3"/>
        <w:spacing w:before="11"/>
        <w:rPr>
          <w:rFonts w:ascii="Trebuchet MS"/>
          <w:b/>
          <w:sz w:val="20"/>
        </w:rPr>
      </w:pPr>
    </w:p>
    <w:p>
      <w:pPr>
        <w:pStyle w:val="11"/>
        <w:numPr>
          <w:ilvl w:val="1"/>
          <w:numId w:val="2"/>
        </w:numPr>
        <w:tabs>
          <w:tab w:val="left" w:pos="1701"/>
        </w:tabs>
        <w:spacing w:line="381" w:lineRule="auto"/>
        <w:ind w:left="1843" w:right="1440" w:hanging="425"/>
        <w:rPr>
          <w:sz w:val="24"/>
        </w:rPr>
      </w:pPr>
      <w:r>
        <w:rPr>
          <w:sz w:val="24"/>
        </w:rPr>
        <w:t>The following should all be regarded as professionals in all investment services and activities and financial instruments:</w:t>
      </w:r>
    </w:p>
    <w:p>
      <w:pPr>
        <w:pStyle w:val="11"/>
        <w:numPr>
          <w:ilvl w:val="2"/>
          <w:numId w:val="2"/>
        </w:numPr>
        <w:tabs>
          <w:tab w:val="left" w:pos="2434"/>
        </w:tabs>
        <w:spacing w:before="101" w:line="381" w:lineRule="auto"/>
        <w:ind w:right="1434"/>
        <w:jc w:val="both"/>
        <w:rPr>
          <w:sz w:val="24"/>
        </w:rPr>
      </w:pPr>
      <w:r>
        <w:rPr>
          <w:sz w:val="24"/>
        </w:rPr>
        <w:t>Entities</w:t>
      </w:r>
      <w:r>
        <w:rPr>
          <w:spacing w:val="-29"/>
          <w:sz w:val="24"/>
        </w:rPr>
        <w:t xml:space="preserve"> </w:t>
      </w:r>
      <w:r>
        <w:rPr>
          <w:sz w:val="24"/>
        </w:rPr>
        <w:t>which</w:t>
      </w:r>
      <w:r>
        <w:rPr>
          <w:spacing w:val="-27"/>
          <w:sz w:val="24"/>
        </w:rPr>
        <w:t xml:space="preserve"> </w:t>
      </w:r>
      <w:r>
        <w:rPr>
          <w:sz w:val="24"/>
        </w:rPr>
        <w:t>are</w:t>
      </w:r>
      <w:r>
        <w:rPr>
          <w:spacing w:val="-28"/>
          <w:sz w:val="24"/>
        </w:rPr>
        <w:t xml:space="preserve"> </w:t>
      </w:r>
      <w:r>
        <w:rPr>
          <w:sz w:val="24"/>
        </w:rPr>
        <w:t>required</w:t>
      </w:r>
      <w:r>
        <w:rPr>
          <w:spacing w:val="-27"/>
          <w:sz w:val="24"/>
        </w:rPr>
        <w:t xml:space="preserve"> </w:t>
      </w:r>
      <w:r>
        <w:rPr>
          <w:sz w:val="24"/>
        </w:rPr>
        <w:t>to</w:t>
      </w:r>
      <w:r>
        <w:rPr>
          <w:spacing w:val="-30"/>
          <w:sz w:val="24"/>
        </w:rPr>
        <w:t xml:space="preserve"> </w:t>
      </w:r>
      <w:r>
        <w:rPr>
          <w:sz w:val="24"/>
        </w:rPr>
        <w:t>be</w:t>
      </w:r>
      <w:r>
        <w:rPr>
          <w:spacing w:val="-28"/>
          <w:sz w:val="24"/>
        </w:rPr>
        <w:t xml:space="preserve"> </w:t>
      </w:r>
      <w:r>
        <w:rPr>
          <w:sz w:val="24"/>
        </w:rPr>
        <w:t>authorised</w:t>
      </w:r>
      <w:r>
        <w:rPr>
          <w:spacing w:val="-27"/>
          <w:sz w:val="24"/>
        </w:rPr>
        <w:t xml:space="preserve"> </w:t>
      </w:r>
      <w:r>
        <w:rPr>
          <w:sz w:val="24"/>
        </w:rPr>
        <w:t>or regulated to operate in the financial markets. The list below should be understood as including all authorised entities carrying out the characteristic activities of the entities mentioned: entities authorised by a Member State under a Directive, entities authorised or regulated by a Member State without reference to a Directive, and entities authorised or regulated by a third country:</w:t>
      </w:r>
    </w:p>
    <w:p>
      <w:pPr>
        <w:pStyle w:val="11"/>
        <w:numPr>
          <w:ilvl w:val="3"/>
          <w:numId w:val="2"/>
        </w:numPr>
        <w:tabs>
          <w:tab w:val="left" w:pos="2718"/>
        </w:tabs>
        <w:spacing w:before="4"/>
        <w:ind w:hanging="283"/>
        <w:rPr>
          <w:sz w:val="24"/>
          <w:highlight w:val="none"/>
        </w:rPr>
      </w:pPr>
      <w:r>
        <w:rPr>
          <w:sz w:val="24"/>
          <w:highlight w:val="none"/>
        </w:rPr>
        <w:t>Credit</w:t>
      </w:r>
      <w:r>
        <w:rPr>
          <w:spacing w:val="-12"/>
          <w:sz w:val="24"/>
          <w:highlight w:val="none"/>
        </w:rPr>
        <w:t xml:space="preserve"> </w:t>
      </w:r>
      <w:r>
        <w:rPr>
          <w:sz w:val="24"/>
          <w:highlight w:val="none"/>
        </w:rPr>
        <w:t>institutions</w:t>
      </w:r>
    </w:p>
    <w:p>
      <w:pPr>
        <w:pStyle w:val="11"/>
        <w:numPr>
          <w:ilvl w:val="3"/>
          <w:numId w:val="2"/>
        </w:numPr>
        <w:tabs>
          <w:tab w:val="left" w:pos="2718"/>
        </w:tabs>
        <w:spacing w:before="258"/>
        <w:ind w:hanging="283"/>
        <w:rPr>
          <w:sz w:val="24"/>
        </w:rPr>
      </w:pPr>
      <w:r>
        <w:rPr>
          <w:sz w:val="24"/>
        </w:rPr>
        <w:t>Investment</w:t>
      </w:r>
      <w:r>
        <w:rPr>
          <w:spacing w:val="-14"/>
          <w:sz w:val="24"/>
        </w:rPr>
        <w:t xml:space="preserve"> </w:t>
      </w:r>
      <w:r>
        <w:rPr>
          <w:sz w:val="24"/>
        </w:rPr>
        <w:t>firms</w:t>
      </w:r>
    </w:p>
    <w:p>
      <w:pPr>
        <w:pStyle w:val="11"/>
        <w:numPr>
          <w:ilvl w:val="3"/>
          <w:numId w:val="2"/>
        </w:numPr>
        <w:tabs>
          <w:tab w:val="left" w:pos="2718"/>
        </w:tabs>
        <w:spacing w:before="258"/>
        <w:ind w:hanging="283"/>
        <w:rPr>
          <w:sz w:val="24"/>
        </w:rPr>
      </w:pPr>
      <w:r>
        <w:rPr>
          <w:sz w:val="24"/>
        </w:rPr>
        <w:t>Other</w:t>
      </w:r>
      <w:r>
        <w:rPr>
          <w:spacing w:val="-18"/>
          <w:sz w:val="24"/>
        </w:rPr>
        <w:t xml:space="preserve"> </w:t>
      </w:r>
      <w:r>
        <w:rPr>
          <w:sz w:val="24"/>
        </w:rPr>
        <w:t>authorised</w:t>
      </w:r>
      <w:r>
        <w:rPr>
          <w:spacing w:val="-16"/>
          <w:sz w:val="24"/>
        </w:rPr>
        <w:t xml:space="preserve"> </w:t>
      </w:r>
      <w:r>
        <w:rPr>
          <w:sz w:val="24"/>
        </w:rPr>
        <w:t>or</w:t>
      </w:r>
      <w:r>
        <w:rPr>
          <w:spacing w:val="-15"/>
          <w:sz w:val="24"/>
        </w:rPr>
        <w:t xml:space="preserve"> </w:t>
      </w:r>
      <w:r>
        <w:rPr>
          <w:sz w:val="24"/>
        </w:rPr>
        <w:t>regulated</w:t>
      </w:r>
      <w:r>
        <w:rPr>
          <w:spacing w:val="-16"/>
          <w:sz w:val="24"/>
        </w:rPr>
        <w:t xml:space="preserve"> </w:t>
      </w:r>
      <w:r>
        <w:rPr>
          <w:sz w:val="24"/>
        </w:rPr>
        <w:t>financial</w:t>
      </w:r>
      <w:r>
        <w:rPr>
          <w:spacing w:val="-17"/>
          <w:sz w:val="24"/>
        </w:rPr>
        <w:t xml:space="preserve"> </w:t>
      </w:r>
      <w:r>
        <w:rPr>
          <w:sz w:val="24"/>
        </w:rPr>
        <w:t>institutions</w:t>
      </w:r>
    </w:p>
    <w:p>
      <w:pPr>
        <w:pStyle w:val="11"/>
        <w:numPr>
          <w:ilvl w:val="3"/>
          <w:numId w:val="2"/>
        </w:numPr>
        <w:tabs>
          <w:tab w:val="left" w:pos="2718"/>
        </w:tabs>
        <w:spacing w:before="258"/>
        <w:ind w:hanging="283"/>
        <w:rPr>
          <w:sz w:val="24"/>
          <w:highlight w:val="none"/>
        </w:rPr>
      </w:pPr>
      <w:r>
        <w:rPr>
          <w:sz w:val="24"/>
          <w:highlight w:val="none"/>
        </w:rPr>
        <w:t>Insurance</w:t>
      </w:r>
      <w:r>
        <w:rPr>
          <w:spacing w:val="-16"/>
          <w:sz w:val="24"/>
          <w:highlight w:val="none"/>
        </w:rPr>
        <w:t xml:space="preserve"> </w:t>
      </w:r>
      <w:r>
        <w:rPr>
          <w:sz w:val="24"/>
          <w:highlight w:val="none"/>
        </w:rPr>
        <w:t>companies</w:t>
      </w:r>
    </w:p>
    <w:p>
      <w:pPr>
        <w:pStyle w:val="11"/>
        <w:numPr>
          <w:ilvl w:val="3"/>
          <w:numId w:val="2"/>
        </w:numPr>
        <w:tabs>
          <w:tab w:val="left" w:pos="2718"/>
        </w:tabs>
        <w:spacing w:before="258"/>
        <w:ind w:hanging="283"/>
        <w:rPr>
          <w:sz w:val="24"/>
          <w:highlight w:val="none"/>
        </w:rPr>
      </w:pPr>
      <w:r>
        <w:rPr>
          <w:sz w:val="24"/>
          <w:highlight w:val="none"/>
        </w:rPr>
        <w:t>Collective</w:t>
      </w:r>
      <w:r>
        <w:rPr>
          <w:spacing w:val="-28"/>
          <w:sz w:val="24"/>
          <w:highlight w:val="none"/>
        </w:rPr>
        <w:t xml:space="preserve"> </w:t>
      </w:r>
      <w:r>
        <w:rPr>
          <w:sz w:val="24"/>
          <w:highlight w:val="none"/>
        </w:rPr>
        <w:t>investment</w:t>
      </w:r>
      <w:r>
        <w:rPr>
          <w:spacing w:val="-29"/>
          <w:sz w:val="24"/>
          <w:highlight w:val="none"/>
        </w:rPr>
        <w:t xml:space="preserve"> </w:t>
      </w:r>
      <w:r>
        <w:rPr>
          <w:sz w:val="24"/>
          <w:highlight w:val="none"/>
        </w:rPr>
        <w:t>schemes</w:t>
      </w:r>
      <w:r>
        <w:rPr>
          <w:spacing w:val="-29"/>
          <w:sz w:val="24"/>
          <w:highlight w:val="none"/>
        </w:rPr>
        <w:t xml:space="preserve"> </w:t>
      </w:r>
      <w:r>
        <w:rPr>
          <w:sz w:val="24"/>
          <w:highlight w:val="none"/>
        </w:rPr>
        <w:t>and</w:t>
      </w:r>
      <w:r>
        <w:rPr>
          <w:spacing w:val="-29"/>
          <w:sz w:val="24"/>
          <w:highlight w:val="none"/>
        </w:rPr>
        <w:t xml:space="preserve"> </w:t>
      </w:r>
      <w:r>
        <w:rPr>
          <w:sz w:val="24"/>
          <w:highlight w:val="none"/>
        </w:rPr>
        <w:t>management</w:t>
      </w:r>
      <w:r>
        <w:rPr>
          <w:spacing w:val="-29"/>
          <w:sz w:val="24"/>
          <w:highlight w:val="none"/>
        </w:rPr>
        <w:t xml:space="preserve"> </w:t>
      </w:r>
      <w:r>
        <w:rPr>
          <w:sz w:val="24"/>
          <w:highlight w:val="none"/>
        </w:rPr>
        <w:t>companies</w:t>
      </w:r>
      <w:r>
        <w:rPr>
          <w:spacing w:val="-28"/>
          <w:sz w:val="24"/>
          <w:highlight w:val="none"/>
        </w:rPr>
        <w:t xml:space="preserve"> </w:t>
      </w:r>
      <w:r>
        <w:rPr>
          <w:sz w:val="24"/>
          <w:highlight w:val="none"/>
        </w:rPr>
        <w:t>of</w:t>
      </w:r>
      <w:r>
        <w:rPr>
          <w:spacing w:val="-27"/>
          <w:sz w:val="24"/>
          <w:highlight w:val="none"/>
        </w:rPr>
        <w:t xml:space="preserve"> </w:t>
      </w:r>
      <w:r>
        <w:rPr>
          <w:sz w:val="24"/>
          <w:highlight w:val="none"/>
        </w:rPr>
        <w:t>such</w:t>
      </w:r>
      <w:r>
        <w:rPr>
          <w:spacing w:val="-27"/>
          <w:sz w:val="24"/>
          <w:highlight w:val="none"/>
        </w:rPr>
        <w:t xml:space="preserve"> </w:t>
      </w:r>
      <w:r>
        <w:rPr>
          <w:sz w:val="24"/>
          <w:highlight w:val="none"/>
        </w:rPr>
        <w:t>schemes</w:t>
      </w:r>
    </w:p>
    <w:p>
      <w:pPr>
        <w:pStyle w:val="11"/>
        <w:numPr>
          <w:ilvl w:val="3"/>
          <w:numId w:val="2"/>
        </w:numPr>
        <w:tabs>
          <w:tab w:val="left" w:pos="2718"/>
        </w:tabs>
        <w:spacing w:before="258"/>
        <w:ind w:hanging="283"/>
        <w:rPr>
          <w:sz w:val="24"/>
          <w:highlight w:val="none"/>
        </w:rPr>
      </w:pPr>
      <w:r>
        <w:rPr>
          <w:sz w:val="24"/>
          <w:highlight w:val="none"/>
        </w:rPr>
        <w:t>Pension</w:t>
      </w:r>
      <w:r>
        <w:rPr>
          <w:spacing w:val="-21"/>
          <w:sz w:val="24"/>
          <w:highlight w:val="none"/>
        </w:rPr>
        <w:t xml:space="preserve"> </w:t>
      </w:r>
      <w:r>
        <w:rPr>
          <w:sz w:val="24"/>
          <w:highlight w:val="none"/>
        </w:rPr>
        <w:t>funds</w:t>
      </w:r>
      <w:r>
        <w:rPr>
          <w:spacing w:val="-19"/>
          <w:sz w:val="24"/>
          <w:highlight w:val="none"/>
        </w:rPr>
        <w:t xml:space="preserve"> </w:t>
      </w:r>
      <w:r>
        <w:rPr>
          <w:sz w:val="24"/>
          <w:highlight w:val="none"/>
        </w:rPr>
        <w:t>and</w:t>
      </w:r>
      <w:r>
        <w:rPr>
          <w:spacing w:val="-20"/>
          <w:sz w:val="24"/>
          <w:highlight w:val="none"/>
        </w:rPr>
        <w:t xml:space="preserve"> </w:t>
      </w:r>
      <w:r>
        <w:rPr>
          <w:sz w:val="24"/>
          <w:highlight w:val="none"/>
        </w:rPr>
        <w:t>management</w:t>
      </w:r>
      <w:r>
        <w:rPr>
          <w:spacing w:val="-19"/>
          <w:sz w:val="24"/>
          <w:highlight w:val="none"/>
        </w:rPr>
        <w:t xml:space="preserve"> </w:t>
      </w:r>
      <w:r>
        <w:rPr>
          <w:sz w:val="24"/>
          <w:highlight w:val="none"/>
        </w:rPr>
        <w:t>companies</w:t>
      </w:r>
      <w:r>
        <w:rPr>
          <w:spacing w:val="-20"/>
          <w:sz w:val="24"/>
          <w:highlight w:val="none"/>
        </w:rPr>
        <w:t xml:space="preserve"> </w:t>
      </w:r>
      <w:r>
        <w:rPr>
          <w:sz w:val="24"/>
          <w:highlight w:val="none"/>
        </w:rPr>
        <w:t>of</w:t>
      </w:r>
      <w:r>
        <w:rPr>
          <w:spacing w:val="-19"/>
          <w:sz w:val="24"/>
          <w:highlight w:val="none"/>
        </w:rPr>
        <w:t xml:space="preserve"> </w:t>
      </w:r>
      <w:r>
        <w:rPr>
          <w:sz w:val="24"/>
          <w:highlight w:val="none"/>
        </w:rPr>
        <w:t>such</w:t>
      </w:r>
      <w:r>
        <w:rPr>
          <w:spacing w:val="-18"/>
          <w:sz w:val="24"/>
          <w:highlight w:val="none"/>
        </w:rPr>
        <w:t xml:space="preserve"> </w:t>
      </w:r>
      <w:r>
        <w:rPr>
          <w:sz w:val="24"/>
          <w:highlight w:val="none"/>
        </w:rPr>
        <w:t>funds</w:t>
      </w:r>
    </w:p>
    <w:p>
      <w:pPr>
        <w:pStyle w:val="11"/>
        <w:numPr>
          <w:ilvl w:val="3"/>
          <w:numId w:val="2"/>
        </w:numPr>
        <w:tabs>
          <w:tab w:val="left" w:pos="2718"/>
        </w:tabs>
        <w:spacing w:before="258"/>
        <w:ind w:hanging="283"/>
        <w:rPr>
          <w:sz w:val="24"/>
          <w:highlight w:val="none"/>
        </w:rPr>
      </w:pPr>
      <w:r>
        <w:rPr>
          <w:sz w:val="24"/>
          <w:highlight w:val="none"/>
        </w:rPr>
        <w:t>Commodity</w:t>
      </w:r>
      <w:r>
        <w:rPr>
          <w:spacing w:val="-19"/>
          <w:sz w:val="24"/>
          <w:highlight w:val="none"/>
        </w:rPr>
        <w:t xml:space="preserve"> </w:t>
      </w:r>
      <w:r>
        <w:rPr>
          <w:sz w:val="24"/>
          <w:highlight w:val="none"/>
        </w:rPr>
        <w:t>and</w:t>
      </w:r>
      <w:r>
        <w:rPr>
          <w:spacing w:val="-14"/>
          <w:sz w:val="24"/>
          <w:highlight w:val="none"/>
        </w:rPr>
        <w:t xml:space="preserve"> </w:t>
      </w:r>
      <w:r>
        <w:rPr>
          <w:sz w:val="24"/>
          <w:highlight w:val="none"/>
        </w:rPr>
        <w:t>commodity</w:t>
      </w:r>
      <w:r>
        <w:rPr>
          <w:spacing w:val="-19"/>
          <w:sz w:val="24"/>
          <w:highlight w:val="none"/>
        </w:rPr>
        <w:t xml:space="preserve"> </w:t>
      </w:r>
      <w:r>
        <w:rPr>
          <w:sz w:val="24"/>
          <w:highlight w:val="none"/>
        </w:rPr>
        <w:t>derivatives</w:t>
      </w:r>
      <w:r>
        <w:rPr>
          <w:spacing w:val="-15"/>
          <w:sz w:val="24"/>
          <w:highlight w:val="none"/>
        </w:rPr>
        <w:t xml:space="preserve"> </w:t>
      </w:r>
      <w:r>
        <w:rPr>
          <w:sz w:val="24"/>
          <w:highlight w:val="none"/>
        </w:rPr>
        <w:t>dealers</w:t>
      </w:r>
    </w:p>
    <w:p>
      <w:pPr>
        <w:pStyle w:val="11"/>
        <w:numPr>
          <w:ilvl w:val="3"/>
          <w:numId w:val="2"/>
        </w:numPr>
        <w:tabs>
          <w:tab w:val="left" w:pos="2718"/>
        </w:tabs>
        <w:spacing w:before="258"/>
        <w:ind w:hanging="283"/>
        <w:rPr>
          <w:sz w:val="24"/>
          <w:highlight w:val="none"/>
        </w:rPr>
      </w:pPr>
      <w:r>
        <w:rPr>
          <w:w w:val="95"/>
          <w:sz w:val="24"/>
          <w:highlight w:val="none"/>
        </w:rPr>
        <w:t>Locals</w:t>
      </w:r>
    </w:p>
    <w:p>
      <w:pPr>
        <w:pStyle w:val="11"/>
        <w:numPr>
          <w:ilvl w:val="3"/>
          <w:numId w:val="2"/>
        </w:numPr>
        <w:tabs>
          <w:tab w:val="left" w:pos="2718"/>
        </w:tabs>
        <w:spacing w:before="258"/>
        <w:ind w:hanging="283"/>
        <w:rPr>
          <w:sz w:val="24"/>
          <w:highlight w:val="none"/>
        </w:rPr>
      </w:pPr>
      <w:r>
        <w:rPr>
          <w:sz w:val="24"/>
          <w:highlight w:val="none"/>
        </w:rPr>
        <w:t>Other institutional</w:t>
      </w:r>
      <w:r>
        <w:rPr>
          <w:spacing w:val="-29"/>
          <w:sz w:val="24"/>
          <w:highlight w:val="none"/>
        </w:rPr>
        <w:t xml:space="preserve"> </w:t>
      </w:r>
      <w:r>
        <w:rPr>
          <w:sz w:val="24"/>
          <w:highlight w:val="none"/>
        </w:rPr>
        <w:t>investors</w:t>
      </w:r>
    </w:p>
    <w:p>
      <w:pPr>
        <w:pStyle w:val="11"/>
        <w:numPr>
          <w:ilvl w:val="2"/>
          <w:numId w:val="2"/>
        </w:numPr>
        <w:tabs>
          <w:tab w:val="left" w:pos="2434"/>
        </w:tabs>
        <w:spacing w:before="260"/>
        <w:rPr>
          <w:sz w:val="24"/>
          <w:highlight w:val="none"/>
        </w:rPr>
      </w:pPr>
      <w:r>
        <w:rPr>
          <w:sz w:val="24"/>
          <w:highlight w:val="none"/>
        </w:rPr>
        <w:t>Large undertakings meeting two of the following size requirements on a portfolio basis:</w:t>
      </w:r>
    </w:p>
    <w:p>
      <w:pPr>
        <w:pStyle w:val="11"/>
        <w:numPr>
          <w:ilvl w:val="3"/>
          <w:numId w:val="2"/>
        </w:numPr>
        <w:tabs>
          <w:tab w:val="left" w:pos="2718"/>
        </w:tabs>
        <w:spacing w:before="164"/>
        <w:ind w:hanging="283"/>
        <w:rPr>
          <w:sz w:val="24"/>
          <w:highlight w:val="none"/>
        </w:rPr>
      </w:pPr>
      <w:r>
        <w:rPr>
          <w:sz w:val="24"/>
          <w:highlight w:val="none"/>
        </w:rPr>
        <w:t>balance sheet total at least EUR 20,000,000;</w:t>
      </w:r>
    </w:p>
    <w:p>
      <w:pPr>
        <w:pStyle w:val="11"/>
        <w:numPr>
          <w:ilvl w:val="3"/>
          <w:numId w:val="2"/>
        </w:numPr>
        <w:tabs>
          <w:tab w:val="left" w:pos="2718"/>
        </w:tabs>
        <w:spacing w:before="258"/>
        <w:ind w:hanging="283"/>
        <w:rPr>
          <w:sz w:val="24"/>
          <w:highlight w:val="none"/>
        </w:rPr>
      </w:pPr>
      <w:r>
        <w:rPr>
          <w:sz w:val="24"/>
          <w:highlight w:val="none"/>
        </w:rPr>
        <w:t>net turnover at least EUR 40,000,000;</w:t>
      </w:r>
    </w:p>
    <w:p>
      <w:pPr>
        <w:pStyle w:val="11"/>
        <w:numPr>
          <w:ilvl w:val="3"/>
          <w:numId w:val="2"/>
        </w:numPr>
        <w:tabs>
          <w:tab w:val="left" w:pos="2718"/>
        </w:tabs>
        <w:spacing w:before="258"/>
        <w:ind w:hanging="283"/>
        <w:rPr>
          <w:sz w:val="24"/>
          <w:highlight w:val="none"/>
        </w:rPr>
      </w:pPr>
      <w:r>
        <w:rPr>
          <w:sz w:val="24"/>
          <w:highlight w:val="none"/>
        </w:rPr>
        <w:t>own funds at least EUR 2,000,000.</w:t>
      </w:r>
    </w:p>
    <w:p>
      <w:pPr>
        <w:pStyle w:val="11"/>
        <w:numPr>
          <w:ilvl w:val="2"/>
          <w:numId w:val="2"/>
        </w:numPr>
        <w:tabs>
          <w:tab w:val="left" w:pos="2434"/>
        </w:tabs>
        <w:spacing w:before="260" w:line="381" w:lineRule="auto"/>
        <w:ind w:right="1442"/>
        <w:jc w:val="both"/>
        <w:rPr>
          <w:sz w:val="24"/>
        </w:rPr>
      </w:pPr>
      <w:r>
        <w:rPr>
          <w:sz w:val="24"/>
        </w:rPr>
        <w:t>National and regional governments, public bodies that manage public debt, Central Banks, international and supranational institutions such as the World Bank, the</w:t>
      </w:r>
    </w:p>
    <w:p>
      <w:pPr>
        <w:spacing w:line="381" w:lineRule="auto"/>
        <w:jc w:val="both"/>
        <w:rPr>
          <w:sz w:val="24"/>
        </w:rPr>
        <w:sectPr>
          <w:pgSz w:w="12240" w:h="15840"/>
          <w:pgMar w:top="1180" w:right="0" w:bottom="1380" w:left="0" w:header="755" w:footer="1163" w:gutter="0"/>
          <w:cols w:space="720" w:num="1"/>
        </w:sectPr>
      </w:pPr>
    </w:p>
    <w:p>
      <w:pPr>
        <w:pStyle w:val="3"/>
        <w:spacing w:before="5"/>
        <w:rPr>
          <w:sz w:val="17"/>
        </w:rPr>
      </w:pPr>
    </w:p>
    <w:p>
      <w:pPr>
        <w:pStyle w:val="3"/>
        <w:spacing w:before="55" w:line="381" w:lineRule="auto"/>
        <w:ind w:left="1843" w:right="963"/>
        <w:rPr>
          <w:szCs w:val="22"/>
          <w:highlight w:val="none"/>
        </w:rPr>
      </w:pPr>
      <w:r>
        <w:rPr>
          <w:szCs w:val="22"/>
        </w:rPr>
        <w:t xml:space="preserve">International Monetary Fund, the European Central Bank, the European Investment </w:t>
      </w:r>
      <w:r>
        <w:rPr>
          <w:szCs w:val="22"/>
          <w:highlight w:val="none"/>
        </w:rPr>
        <w:t>Bank and other similar international organisations.</w:t>
      </w:r>
    </w:p>
    <w:p>
      <w:pPr>
        <w:pStyle w:val="11"/>
        <w:numPr>
          <w:ilvl w:val="2"/>
          <w:numId w:val="2"/>
        </w:numPr>
        <w:tabs>
          <w:tab w:val="left" w:pos="2434"/>
        </w:tabs>
        <w:spacing w:before="102" w:line="381" w:lineRule="auto"/>
        <w:ind w:right="1440"/>
        <w:jc w:val="both"/>
        <w:rPr>
          <w:sz w:val="24"/>
          <w:highlight w:val="none"/>
        </w:rPr>
      </w:pPr>
      <w:r>
        <w:rPr>
          <w:sz w:val="24"/>
          <w:highlight w:val="none"/>
        </w:rPr>
        <w:t>Other</w:t>
      </w:r>
      <w:r>
        <w:rPr>
          <w:spacing w:val="-43"/>
          <w:sz w:val="24"/>
          <w:highlight w:val="none"/>
        </w:rPr>
        <w:t xml:space="preserve"> </w:t>
      </w:r>
      <w:r>
        <w:rPr>
          <w:sz w:val="24"/>
          <w:highlight w:val="none"/>
        </w:rPr>
        <w:t>institutional</w:t>
      </w:r>
      <w:r>
        <w:rPr>
          <w:spacing w:val="-42"/>
          <w:sz w:val="24"/>
          <w:highlight w:val="none"/>
        </w:rPr>
        <w:t xml:space="preserve"> </w:t>
      </w:r>
      <w:r>
        <w:rPr>
          <w:sz w:val="24"/>
          <w:highlight w:val="none"/>
        </w:rPr>
        <w:t>investors</w:t>
      </w:r>
      <w:r>
        <w:rPr>
          <w:spacing w:val="-43"/>
          <w:sz w:val="24"/>
          <w:highlight w:val="none"/>
        </w:rPr>
        <w:t xml:space="preserve"> </w:t>
      </w:r>
      <w:r>
        <w:rPr>
          <w:sz w:val="24"/>
          <w:highlight w:val="none"/>
        </w:rPr>
        <w:t>whose</w:t>
      </w:r>
      <w:r>
        <w:rPr>
          <w:spacing w:val="-42"/>
          <w:sz w:val="24"/>
          <w:highlight w:val="none"/>
        </w:rPr>
        <w:t xml:space="preserve"> </w:t>
      </w:r>
      <w:r>
        <w:rPr>
          <w:sz w:val="24"/>
          <w:highlight w:val="none"/>
        </w:rPr>
        <w:t>main</w:t>
      </w:r>
      <w:r>
        <w:rPr>
          <w:spacing w:val="-41"/>
          <w:sz w:val="24"/>
          <w:highlight w:val="none"/>
        </w:rPr>
        <w:t xml:space="preserve"> </w:t>
      </w:r>
      <w:r>
        <w:rPr>
          <w:sz w:val="24"/>
          <w:highlight w:val="none"/>
        </w:rPr>
        <w:t>activity</w:t>
      </w:r>
      <w:r>
        <w:rPr>
          <w:spacing w:val="-43"/>
          <w:sz w:val="24"/>
          <w:highlight w:val="none"/>
        </w:rPr>
        <w:t xml:space="preserve"> </w:t>
      </w:r>
      <w:r>
        <w:rPr>
          <w:sz w:val="24"/>
          <w:highlight w:val="none"/>
        </w:rPr>
        <w:t>is</w:t>
      </w:r>
      <w:r>
        <w:rPr>
          <w:spacing w:val="-42"/>
          <w:sz w:val="24"/>
          <w:highlight w:val="none"/>
        </w:rPr>
        <w:t xml:space="preserve"> </w:t>
      </w:r>
      <w:r>
        <w:rPr>
          <w:sz w:val="24"/>
          <w:highlight w:val="none"/>
        </w:rPr>
        <w:t>to</w:t>
      </w:r>
      <w:r>
        <w:rPr>
          <w:spacing w:val="-42"/>
          <w:sz w:val="24"/>
          <w:highlight w:val="none"/>
        </w:rPr>
        <w:t xml:space="preserve"> </w:t>
      </w:r>
      <w:r>
        <w:rPr>
          <w:sz w:val="24"/>
          <w:highlight w:val="none"/>
        </w:rPr>
        <w:t>invest</w:t>
      </w:r>
      <w:r>
        <w:rPr>
          <w:spacing w:val="-43"/>
          <w:sz w:val="24"/>
          <w:highlight w:val="none"/>
        </w:rPr>
        <w:t xml:space="preserve"> </w:t>
      </w:r>
      <w:r>
        <w:rPr>
          <w:sz w:val="24"/>
          <w:highlight w:val="none"/>
        </w:rPr>
        <w:t>in</w:t>
      </w:r>
      <w:r>
        <w:rPr>
          <w:spacing w:val="-43"/>
          <w:sz w:val="24"/>
          <w:highlight w:val="none"/>
        </w:rPr>
        <w:t xml:space="preserve"> </w:t>
      </w:r>
      <w:r>
        <w:rPr>
          <w:sz w:val="24"/>
          <w:highlight w:val="none"/>
        </w:rPr>
        <w:t>financial</w:t>
      </w:r>
      <w:r>
        <w:rPr>
          <w:spacing w:val="-42"/>
          <w:sz w:val="24"/>
          <w:highlight w:val="none"/>
        </w:rPr>
        <w:t xml:space="preserve"> </w:t>
      </w:r>
      <w:r>
        <w:rPr>
          <w:sz w:val="24"/>
          <w:highlight w:val="none"/>
        </w:rPr>
        <w:t>instruments, including entities dedicated to the securitisation of assets or other financing transactions.</w:t>
      </w:r>
    </w:p>
    <w:p>
      <w:pPr>
        <w:pStyle w:val="3"/>
        <w:spacing w:before="4"/>
        <w:rPr>
          <w:sz w:val="31"/>
        </w:rPr>
      </w:pPr>
    </w:p>
    <w:p>
      <w:pPr>
        <w:pStyle w:val="11"/>
        <w:numPr>
          <w:ilvl w:val="1"/>
          <w:numId w:val="2"/>
        </w:numPr>
        <w:tabs>
          <w:tab w:val="left" w:pos="2006"/>
          <w:tab w:val="left" w:pos="2007"/>
        </w:tabs>
        <w:ind w:hanging="566"/>
        <w:rPr>
          <w:sz w:val="24"/>
        </w:rPr>
      </w:pPr>
      <w:r>
        <w:rPr>
          <w:sz w:val="24"/>
        </w:rPr>
        <w:t>Professional Clients requesting to be treated as Retail:</w:t>
      </w:r>
    </w:p>
    <w:p>
      <w:pPr>
        <w:pStyle w:val="3"/>
        <w:rPr>
          <w:sz w:val="23"/>
        </w:rPr>
      </w:pPr>
    </w:p>
    <w:p>
      <w:pPr>
        <w:pStyle w:val="11"/>
        <w:numPr>
          <w:ilvl w:val="2"/>
          <w:numId w:val="2"/>
        </w:numPr>
        <w:tabs>
          <w:tab w:val="left" w:pos="2434"/>
        </w:tabs>
        <w:spacing w:line="381" w:lineRule="auto"/>
        <w:ind w:right="1437"/>
        <w:jc w:val="both"/>
        <w:rPr>
          <w:sz w:val="24"/>
        </w:rPr>
      </w:pPr>
      <w:r>
        <w:rPr>
          <w:sz w:val="24"/>
        </w:rPr>
        <w:t>The entities mentioned above in paragraph 2.1 are considered to be professionals by default. They are however allowed to request non-professional treatment and the Company may agree to provide a higher level of protection.</w:t>
      </w:r>
    </w:p>
    <w:p>
      <w:pPr>
        <w:pStyle w:val="11"/>
        <w:numPr>
          <w:ilvl w:val="2"/>
          <w:numId w:val="2"/>
        </w:numPr>
        <w:tabs>
          <w:tab w:val="left" w:pos="2434"/>
        </w:tabs>
        <w:spacing w:before="103" w:line="381" w:lineRule="auto"/>
        <w:ind w:right="1434"/>
        <w:jc w:val="both"/>
        <w:rPr>
          <w:sz w:val="24"/>
        </w:rPr>
      </w:pPr>
      <w:r>
        <w:rPr>
          <w:sz w:val="24"/>
        </w:rPr>
        <w:t>Where the Client of the Company is an undertaking referred to above, the Company shall inform him prior to any provision of services that, on the basis of the information available to the Company, the Client is deemed to be a professional Client, and will be treated as such unless the Company and the Client agree otherwise. The Client may request a variation of the terms of the agreement in Order to secure a higher degree of protection. It is the responsibility of the Client, considered to be a professional Client, to ask for a higher level of protection when it deems it is unable to properly assess or manage the risks involved. This higher level of protection will be provided when a Client who is considered to be a professional enters into a written agreement with the Company to the effect that it shall not be treated as a professional for the purposes of the applicable conduct of business regime.</w:t>
      </w:r>
    </w:p>
    <w:p>
      <w:pPr>
        <w:pStyle w:val="3"/>
      </w:pPr>
    </w:p>
    <w:p>
      <w:pPr>
        <w:pStyle w:val="11"/>
        <w:numPr>
          <w:ilvl w:val="2"/>
          <w:numId w:val="2"/>
        </w:numPr>
        <w:tabs>
          <w:tab w:val="left" w:pos="2434"/>
        </w:tabs>
        <w:spacing w:before="151" w:line="381" w:lineRule="auto"/>
        <w:ind w:right="1435"/>
        <w:jc w:val="both"/>
        <w:rPr>
          <w:sz w:val="24"/>
        </w:rPr>
      </w:pPr>
      <w:r>
        <w:rPr>
          <w:sz w:val="24"/>
        </w:rPr>
        <w:t>Such agreement should specify whether this applies to one or more particular services or transactions, or to one or more types of product or transaction.</w:t>
      </w:r>
    </w:p>
    <w:p>
      <w:pPr>
        <w:pStyle w:val="3"/>
        <w:spacing w:before="4"/>
        <w:rPr>
          <w:sz w:val="31"/>
        </w:rPr>
      </w:pPr>
    </w:p>
    <w:p>
      <w:pPr>
        <w:pStyle w:val="2"/>
        <w:numPr>
          <w:ilvl w:val="0"/>
          <w:numId w:val="2"/>
        </w:numPr>
        <w:tabs>
          <w:tab w:val="left" w:pos="2006"/>
          <w:tab w:val="left" w:pos="2007"/>
        </w:tabs>
        <w:ind w:hanging="566"/>
        <w:rPr>
          <w:color w:val="C00000"/>
        </w:rPr>
      </w:pPr>
      <w:bookmarkStart w:id="5" w:name="_TOC_250003"/>
      <w:r>
        <w:rPr>
          <w:color w:val="C00000"/>
        </w:rPr>
        <w:t>Clients</w:t>
      </w:r>
      <w:r>
        <w:rPr>
          <w:color w:val="C00000"/>
          <w:spacing w:val="-25"/>
        </w:rPr>
        <w:t xml:space="preserve"> </w:t>
      </w:r>
      <w:r>
        <w:rPr>
          <w:color w:val="C00000"/>
        </w:rPr>
        <w:t>who</w:t>
      </w:r>
      <w:r>
        <w:rPr>
          <w:color w:val="C00000"/>
          <w:spacing w:val="-24"/>
        </w:rPr>
        <w:t xml:space="preserve"> </w:t>
      </w:r>
      <w:r>
        <w:rPr>
          <w:color w:val="C00000"/>
        </w:rPr>
        <w:t>may</w:t>
      </w:r>
      <w:r>
        <w:rPr>
          <w:color w:val="C00000"/>
          <w:spacing w:val="-24"/>
        </w:rPr>
        <w:t xml:space="preserve"> </w:t>
      </w:r>
      <w:r>
        <w:rPr>
          <w:color w:val="C00000"/>
        </w:rPr>
        <w:t>be</w:t>
      </w:r>
      <w:r>
        <w:rPr>
          <w:color w:val="C00000"/>
          <w:spacing w:val="-25"/>
        </w:rPr>
        <w:t xml:space="preserve"> </w:t>
      </w:r>
      <w:r>
        <w:rPr>
          <w:color w:val="C00000"/>
        </w:rPr>
        <w:t>treated</w:t>
      </w:r>
      <w:r>
        <w:rPr>
          <w:color w:val="C00000"/>
          <w:spacing w:val="-24"/>
        </w:rPr>
        <w:t xml:space="preserve"> </w:t>
      </w:r>
      <w:r>
        <w:rPr>
          <w:color w:val="C00000"/>
        </w:rPr>
        <w:t>as</w:t>
      </w:r>
      <w:r>
        <w:rPr>
          <w:color w:val="C00000"/>
          <w:spacing w:val="-24"/>
        </w:rPr>
        <w:t xml:space="preserve"> </w:t>
      </w:r>
      <w:r>
        <w:rPr>
          <w:color w:val="C00000"/>
        </w:rPr>
        <w:t>professionals</w:t>
      </w:r>
      <w:r>
        <w:rPr>
          <w:color w:val="C00000"/>
          <w:spacing w:val="-25"/>
        </w:rPr>
        <w:t xml:space="preserve"> </w:t>
      </w:r>
      <w:r>
        <w:rPr>
          <w:color w:val="C00000"/>
        </w:rPr>
        <w:t>on</w:t>
      </w:r>
      <w:r>
        <w:rPr>
          <w:color w:val="C00000"/>
          <w:spacing w:val="-25"/>
        </w:rPr>
        <w:t xml:space="preserve"> </w:t>
      </w:r>
      <w:bookmarkEnd w:id="5"/>
      <w:r>
        <w:rPr>
          <w:color w:val="C00000"/>
        </w:rPr>
        <w:t>request</w:t>
      </w:r>
    </w:p>
    <w:p>
      <w:pPr>
        <w:pStyle w:val="3"/>
        <w:rPr>
          <w:rFonts w:ascii="Trebuchet MS"/>
          <w:b/>
        </w:rPr>
      </w:pPr>
    </w:p>
    <w:p>
      <w:pPr>
        <w:pStyle w:val="3"/>
        <w:spacing w:before="10"/>
        <w:rPr>
          <w:rFonts w:ascii="Trebuchet MS"/>
          <w:b/>
          <w:sz w:val="20"/>
        </w:rPr>
      </w:pPr>
    </w:p>
    <w:p>
      <w:pPr>
        <w:pStyle w:val="11"/>
        <w:numPr>
          <w:ilvl w:val="1"/>
          <w:numId w:val="2"/>
        </w:numPr>
        <w:tabs>
          <w:tab w:val="left" w:pos="2006"/>
          <w:tab w:val="left" w:pos="2007"/>
        </w:tabs>
        <w:ind w:hanging="566"/>
        <w:rPr>
          <w:sz w:val="24"/>
        </w:rPr>
      </w:pPr>
      <w:r>
        <w:rPr>
          <w:sz w:val="24"/>
        </w:rPr>
        <w:t>Identification</w:t>
      </w:r>
      <w:r>
        <w:rPr>
          <w:spacing w:val="-14"/>
          <w:sz w:val="24"/>
        </w:rPr>
        <w:t xml:space="preserve"> </w:t>
      </w:r>
      <w:r>
        <w:rPr>
          <w:sz w:val="24"/>
        </w:rPr>
        <w:t>criteria</w:t>
      </w:r>
    </w:p>
    <w:p>
      <w:pPr>
        <w:rPr>
          <w:sz w:val="24"/>
        </w:rPr>
        <w:sectPr>
          <w:pgSz w:w="12240" w:h="15840"/>
          <w:pgMar w:top="1180" w:right="0" w:bottom="1380" w:left="0" w:header="755" w:footer="1163" w:gutter="0"/>
          <w:cols w:space="720" w:num="1"/>
        </w:sectPr>
      </w:pPr>
    </w:p>
    <w:p>
      <w:pPr>
        <w:pStyle w:val="3"/>
        <w:spacing w:before="5"/>
        <w:rPr>
          <w:sz w:val="17"/>
        </w:rPr>
      </w:pPr>
    </w:p>
    <w:p>
      <w:pPr>
        <w:pStyle w:val="11"/>
        <w:numPr>
          <w:ilvl w:val="2"/>
          <w:numId w:val="2"/>
        </w:numPr>
        <w:tabs>
          <w:tab w:val="left" w:pos="2434"/>
        </w:tabs>
        <w:spacing w:before="55" w:line="381" w:lineRule="auto"/>
        <w:ind w:right="1434"/>
        <w:jc w:val="both"/>
        <w:rPr>
          <w:sz w:val="24"/>
        </w:rPr>
      </w:pPr>
      <w:r>
        <w:rPr>
          <w:sz w:val="24"/>
        </w:rPr>
        <w:t>Clients other than those mentioned in paragraph 2.1 above, may also be allowed to be treated as Professional Clients and hence waive some of the protections afforded by the conduct of business rules of the Company.</w:t>
      </w:r>
    </w:p>
    <w:p>
      <w:pPr>
        <w:pStyle w:val="11"/>
        <w:numPr>
          <w:ilvl w:val="2"/>
          <w:numId w:val="2"/>
        </w:numPr>
        <w:tabs>
          <w:tab w:val="left" w:pos="2434"/>
        </w:tabs>
        <w:spacing w:before="102" w:line="381" w:lineRule="auto"/>
        <w:ind w:right="1438"/>
        <w:jc w:val="both"/>
        <w:rPr>
          <w:sz w:val="24"/>
        </w:rPr>
      </w:pPr>
      <w:r>
        <w:rPr>
          <w:sz w:val="24"/>
        </w:rPr>
        <w:t>The Company should therefore be allowed to treat any of the above Clients as professionals provided the relevant criteria and procedure mentioned below are fulfilled. These Clients should not, however, be presumed to possess market knowledge and experience comparable to that of the categories listed paragraph 2.1</w:t>
      </w:r>
      <w:r>
        <w:rPr>
          <w:w w:val="95"/>
          <w:sz w:val="24"/>
        </w:rPr>
        <w:t>.</w:t>
      </w:r>
    </w:p>
    <w:p>
      <w:pPr>
        <w:pStyle w:val="11"/>
        <w:numPr>
          <w:ilvl w:val="2"/>
          <w:numId w:val="2"/>
        </w:numPr>
        <w:tabs>
          <w:tab w:val="left" w:pos="2434"/>
        </w:tabs>
        <w:spacing w:before="102" w:line="381" w:lineRule="auto"/>
        <w:ind w:right="1435"/>
        <w:jc w:val="both"/>
        <w:rPr>
          <w:sz w:val="24"/>
        </w:rPr>
      </w:pPr>
      <w:r>
        <w:rPr>
          <w:sz w:val="24"/>
        </w:rPr>
        <w:t>Any such waiver of the protection afforded by the standard conduct of business regime shall be considered valid only if an adequate assessment of the expertise, experience and knowledge of the Client, undertaken by the Company, gives reasonable assurance, in light of the nature of the transactions or services envisaged, that the Client is capable of making his own investment decisions and understands the risks involved.</w:t>
      </w:r>
    </w:p>
    <w:p>
      <w:pPr>
        <w:pStyle w:val="3"/>
        <w:spacing w:before="6"/>
        <w:rPr>
          <w:sz w:val="31"/>
        </w:rPr>
      </w:pPr>
    </w:p>
    <w:p>
      <w:pPr>
        <w:pStyle w:val="11"/>
        <w:numPr>
          <w:ilvl w:val="1"/>
          <w:numId w:val="2"/>
        </w:numPr>
        <w:tabs>
          <w:tab w:val="left" w:pos="2006"/>
          <w:tab w:val="left" w:pos="2007"/>
        </w:tabs>
        <w:spacing w:before="1"/>
        <w:ind w:hanging="566"/>
        <w:rPr>
          <w:sz w:val="24"/>
        </w:rPr>
      </w:pPr>
      <w:r>
        <w:rPr>
          <w:sz w:val="24"/>
        </w:rPr>
        <w:t>Fitness</w:t>
      </w:r>
      <w:r>
        <w:rPr>
          <w:spacing w:val="-15"/>
          <w:sz w:val="24"/>
        </w:rPr>
        <w:t xml:space="preserve"> </w:t>
      </w:r>
      <w:r>
        <w:rPr>
          <w:sz w:val="24"/>
        </w:rPr>
        <w:t>Test</w:t>
      </w:r>
    </w:p>
    <w:p>
      <w:pPr>
        <w:pStyle w:val="3"/>
        <w:spacing w:before="10"/>
        <w:rPr>
          <w:sz w:val="22"/>
        </w:rPr>
      </w:pPr>
    </w:p>
    <w:p>
      <w:pPr>
        <w:pStyle w:val="11"/>
        <w:numPr>
          <w:ilvl w:val="2"/>
          <w:numId w:val="2"/>
        </w:numPr>
        <w:tabs>
          <w:tab w:val="left" w:pos="2161"/>
        </w:tabs>
        <w:spacing w:before="1" w:line="384" w:lineRule="auto"/>
        <w:ind w:left="2160" w:right="1435" w:hanging="360"/>
        <w:jc w:val="both"/>
        <w:rPr>
          <w:sz w:val="24"/>
        </w:rPr>
      </w:pPr>
      <w:r>
        <w:rPr>
          <w:sz w:val="24"/>
        </w:rPr>
        <w:t xml:space="preserve">The fitness test applied to managers and directors of entities licensed under </w:t>
      </w:r>
      <w:r>
        <w:rPr>
          <w:sz w:val="24"/>
          <w:highlight w:val="none"/>
        </w:rPr>
        <w:t xml:space="preserve">European Directives in the </w:t>
      </w:r>
      <w:r>
        <w:rPr>
          <w:sz w:val="24"/>
        </w:rPr>
        <w:t>financial field could be regarded as an example of the assessment of expertise and knowledge.</w:t>
      </w:r>
    </w:p>
    <w:p>
      <w:pPr>
        <w:pStyle w:val="11"/>
        <w:numPr>
          <w:ilvl w:val="2"/>
          <w:numId w:val="2"/>
        </w:numPr>
        <w:tabs>
          <w:tab w:val="left" w:pos="2161"/>
        </w:tabs>
        <w:spacing w:before="94" w:line="381" w:lineRule="auto"/>
        <w:ind w:left="2160" w:right="1443" w:hanging="360"/>
        <w:jc w:val="both"/>
        <w:rPr>
          <w:sz w:val="24"/>
        </w:rPr>
      </w:pPr>
      <w:r>
        <w:rPr>
          <w:sz w:val="24"/>
        </w:rPr>
        <w:t>In the case of small entities, the person subject to the above assessment should be the person authorised to carry out transactions on behalf of the entity.</w:t>
      </w:r>
    </w:p>
    <w:p>
      <w:pPr>
        <w:pStyle w:val="11"/>
        <w:numPr>
          <w:ilvl w:val="2"/>
          <w:numId w:val="2"/>
        </w:numPr>
        <w:tabs>
          <w:tab w:val="left" w:pos="2161"/>
        </w:tabs>
        <w:spacing w:before="101" w:line="381" w:lineRule="auto"/>
        <w:ind w:left="2160" w:right="1439" w:hanging="360"/>
        <w:jc w:val="both"/>
        <w:rPr>
          <w:sz w:val="24"/>
        </w:rPr>
      </w:pPr>
      <w:r>
        <w:rPr>
          <w:sz w:val="24"/>
        </w:rPr>
        <w:t>In the course of the above assessment (fitness test), as a minimum, two of the following criteria should be satisfied:</w:t>
      </w:r>
    </w:p>
    <w:p>
      <w:pPr>
        <w:pStyle w:val="11"/>
        <w:numPr>
          <w:ilvl w:val="3"/>
          <w:numId w:val="2"/>
        </w:numPr>
        <w:tabs>
          <w:tab w:val="left" w:pos="2718"/>
        </w:tabs>
        <w:spacing w:before="100" w:line="372" w:lineRule="auto"/>
        <w:ind w:right="1443" w:hanging="283"/>
        <w:jc w:val="both"/>
        <w:rPr>
          <w:sz w:val="24"/>
        </w:rPr>
      </w:pPr>
      <w:r>
        <w:rPr>
          <w:sz w:val="24"/>
        </w:rPr>
        <w:t>the Client has carried out transactions, in significant size, on the relevant market at an average frequency of 10 per quarter over the previous four quarters;</w:t>
      </w:r>
    </w:p>
    <w:p>
      <w:pPr>
        <w:pStyle w:val="11"/>
        <w:numPr>
          <w:ilvl w:val="3"/>
          <w:numId w:val="2"/>
        </w:numPr>
        <w:tabs>
          <w:tab w:val="left" w:pos="2718"/>
        </w:tabs>
        <w:spacing w:before="108" w:line="372" w:lineRule="auto"/>
        <w:ind w:right="1439" w:hanging="283"/>
        <w:jc w:val="both"/>
        <w:rPr>
          <w:sz w:val="24"/>
        </w:rPr>
      </w:pPr>
      <w:r>
        <w:rPr>
          <w:sz w:val="24"/>
        </w:rPr>
        <w:t>the size of the Client's financial instrument portfolio, defined as including cash deposits and financial instruments exceeds EUR 500 000;</w:t>
      </w:r>
    </w:p>
    <w:p>
      <w:pPr>
        <w:pStyle w:val="11"/>
        <w:numPr>
          <w:ilvl w:val="3"/>
          <w:numId w:val="2"/>
        </w:numPr>
        <w:tabs>
          <w:tab w:val="left" w:pos="2718"/>
        </w:tabs>
        <w:spacing w:before="111" w:line="376" w:lineRule="auto"/>
        <w:ind w:right="1436" w:hanging="283"/>
        <w:jc w:val="both"/>
        <w:rPr>
          <w:sz w:val="24"/>
        </w:rPr>
      </w:pPr>
      <w:r>
        <w:rPr>
          <w:sz w:val="24"/>
        </w:rPr>
        <w:t>the Client works or has worked in the financial sector for at least one year in a professional position, which requires knowledge of the transactions or services envisaged.</w:t>
      </w:r>
    </w:p>
    <w:p>
      <w:pPr>
        <w:pStyle w:val="3"/>
        <w:spacing w:before="5"/>
        <w:rPr>
          <w:sz w:val="17"/>
        </w:rPr>
      </w:pPr>
    </w:p>
    <w:p>
      <w:pPr>
        <w:pStyle w:val="11"/>
        <w:numPr>
          <w:ilvl w:val="1"/>
          <w:numId w:val="2"/>
        </w:numPr>
        <w:tabs>
          <w:tab w:val="left" w:pos="2006"/>
          <w:tab w:val="left" w:pos="2007"/>
        </w:tabs>
        <w:spacing w:before="55"/>
        <w:ind w:hanging="566"/>
        <w:rPr>
          <w:sz w:val="24"/>
        </w:rPr>
      </w:pPr>
      <w:r>
        <w:rPr>
          <w:sz w:val="24"/>
        </w:rPr>
        <w:t>Procedure</w:t>
      </w:r>
    </w:p>
    <w:p>
      <w:pPr>
        <w:pStyle w:val="3"/>
        <w:spacing w:before="11"/>
        <w:rPr>
          <w:szCs w:val="22"/>
        </w:rPr>
      </w:pPr>
    </w:p>
    <w:p>
      <w:pPr>
        <w:pStyle w:val="3"/>
        <w:spacing w:line="470" w:lineRule="auto"/>
        <w:ind w:left="1440" w:right="963"/>
        <w:rPr>
          <w:szCs w:val="22"/>
        </w:rPr>
      </w:pPr>
      <w:r>
        <w:rPr>
          <w:szCs w:val="22"/>
        </w:rPr>
        <w:t>The Clients defined above may request to be treated as Professionals instead of Retail and hence waive the benefit of the detailed rules of conduct only when the procedure below is followed:</w:t>
      </w:r>
    </w:p>
    <w:p>
      <w:pPr>
        <w:pStyle w:val="11"/>
        <w:numPr>
          <w:ilvl w:val="2"/>
          <w:numId w:val="2"/>
        </w:numPr>
        <w:tabs>
          <w:tab w:val="left" w:pos="2434"/>
        </w:tabs>
        <w:spacing w:line="384" w:lineRule="auto"/>
        <w:ind w:right="1436"/>
        <w:jc w:val="both"/>
        <w:rPr>
          <w:sz w:val="24"/>
        </w:rPr>
      </w:pPr>
      <w:r>
        <w:rPr>
          <w:sz w:val="24"/>
        </w:rPr>
        <w:t>they must state in writing to the Company that they wish to be treated as a professional Client, either generally or in respect of a. particular investment service or transaction, or type of transaction or product,</w:t>
      </w:r>
    </w:p>
    <w:p>
      <w:pPr>
        <w:pStyle w:val="11"/>
        <w:numPr>
          <w:ilvl w:val="2"/>
          <w:numId w:val="2"/>
        </w:numPr>
        <w:tabs>
          <w:tab w:val="left" w:pos="2434"/>
        </w:tabs>
        <w:spacing w:before="90" w:line="381" w:lineRule="auto"/>
        <w:ind w:right="1442"/>
        <w:jc w:val="both"/>
        <w:rPr>
          <w:sz w:val="24"/>
        </w:rPr>
      </w:pPr>
      <w:r>
        <w:rPr>
          <w:sz w:val="24"/>
        </w:rPr>
        <w:t>the Company must give them a clear written warning of the protection and investor compensation rights they may lose,</w:t>
      </w:r>
    </w:p>
    <w:p>
      <w:pPr>
        <w:pStyle w:val="11"/>
        <w:numPr>
          <w:ilvl w:val="2"/>
          <w:numId w:val="2"/>
        </w:numPr>
        <w:tabs>
          <w:tab w:val="left" w:pos="2434"/>
        </w:tabs>
        <w:spacing w:before="102" w:line="381" w:lineRule="auto"/>
        <w:ind w:right="1442"/>
        <w:jc w:val="both"/>
        <w:rPr>
          <w:sz w:val="24"/>
        </w:rPr>
      </w:pPr>
      <w:r>
        <w:rPr>
          <w:sz w:val="24"/>
        </w:rPr>
        <w:t>they must state in writing, in a separate document from the contract, that they are aware of the consequences of losing such protection.</w:t>
      </w:r>
    </w:p>
    <w:p>
      <w:pPr>
        <w:pStyle w:val="3"/>
        <w:spacing w:before="101" w:line="381" w:lineRule="auto"/>
        <w:ind w:left="1440" w:right="1438"/>
        <w:jc w:val="both"/>
        <w:rPr>
          <w:szCs w:val="22"/>
        </w:rPr>
      </w:pPr>
      <w:r>
        <w:rPr>
          <w:szCs w:val="22"/>
        </w:rPr>
        <w:t>Before deciding to accept any request for waiver, the Company is required to take all reasonable steps to ensure that the Client requesting to be treated as a professional Client meets the relevant requirements stated above under paragraphs 3.1 and 3.3.</w:t>
      </w:r>
    </w:p>
    <w:p>
      <w:pPr>
        <w:pStyle w:val="3"/>
        <w:spacing w:before="5"/>
        <w:rPr>
          <w:szCs w:val="22"/>
        </w:rPr>
      </w:pPr>
    </w:p>
    <w:p>
      <w:pPr>
        <w:pStyle w:val="2"/>
        <w:numPr>
          <w:ilvl w:val="0"/>
          <w:numId w:val="2"/>
        </w:numPr>
        <w:tabs>
          <w:tab w:val="left" w:pos="2006"/>
          <w:tab w:val="left" w:pos="2007"/>
        </w:tabs>
        <w:ind w:hanging="566"/>
        <w:rPr>
          <w:color w:val="C00000"/>
        </w:rPr>
      </w:pPr>
      <w:bookmarkStart w:id="6" w:name="_TOC_250002"/>
      <w:r>
        <w:rPr>
          <w:color w:val="C00000"/>
          <w:w w:val="85"/>
        </w:rPr>
        <w:t xml:space="preserve">Eligible </w:t>
      </w:r>
      <w:r>
        <w:rPr>
          <w:color w:val="C00000"/>
          <w:spacing w:val="5"/>
          <w:w w:val="85"/>
        </w:rPr>
        <w:t xml:space="preserve"> </w:t>
      </w:r>
      <w:bookmarkEnd w:id="6"/>
      <w:r>
        <w:rPr>
          <w:color w:val="C00000"/>
          <w:w w:val="85"/>
        </w:rPr>
        <w:t>Counterparties</w:t>
      </w:r>
    </w:p>
    <w:p>
      <w:pPr>
        <w:pStyle w:val="3"/>
        <w:rPr>
          <w:rFonts w:ascii="Trebuchet MS"/>
          <w:b/>
        </w:rPr>
      </w:pPr>
    </w:p>
    <w:p>
      <w:pPr>
        <w:pStyle w:val="3"/>
        <w:spacing w:before="10"/>
        <w:rPr>
          <w:rFonts w:ascii="Trebuchet MS"/>
          <w:b/>
          <w:sz w:val="20"/>
        </w:rPr>
      </w:pPr>
    </w:p>
    <w:p>
      <w:pPr>
        <w:pStyle w:val="11"/>
        <w:numPr>
          <w:ilvl w:val="1"/>
          <w:numId w:val="2"/>
        </w:numPr>
        <w:tabs>
          <w:tab w:val="left" w:pos="1887"/>
        </w:tabs>
        <w:spacing w:line="381" w:lineRule="auto"/>
        <w:ind w:left="1886" w:right="1434" w:hanging="432"/>
        <w:jc w:val="both"/>
        <w:rPr>
          <w:sz w:val="24"/>
          <w:highlight w:val="none"/>
        </w:rPr>
      </w:pPr>
      <w:r>
        <w:rPr>
          <w:sz w:val="24"/>
          <w:highlight w:val="none"/>
        </w:rPr>
        <w:t>Eligible</w:t>
      </w:r>
      <w:r>
        <w:rPr>
          <w:spacing w:val="-28"/>
          <w:sz w:val="24"/>
          <w:highlight w:val="none"/>
        </w:rPr>
        <w:t xml:space="preserve"> </w:t>
      </w:r>
      <w:r>
        <w:rPr>
          <w:sz w:val="24"/>
          <w:highlight w:val="none"/>
        </w:rPr>
        <w:t>Counterparty</w:t>
      </w:r>
      <w:r>
        <w:rPr>
          <w:spacing w:val="-29"/>
          <w:sz w:val="24"/>
          <w:highlight w:val="none"/>
        </w:rPr>
        <w:t xml:space="preserve"> </w:t>
      </w:r>
      <w:r>
        <w:rPr>
          <w:sz w:val="24"/>
          <w:highlight w:val="none"/>
        </w:rPr>
        <w:t>for</w:t>
      </w:r>
      <w:r>
        <w:rPr>
          <w:spacing w:val="-29"/>
          <w:sz w:val="24"/>
          <w:highlight w:val="none"/>
        </w:rPr>
        <w:t xml:space="preserve"> </w:t>
      </w:r>
      <w:r>
        <w:rPr>
          <w:sz w:val="24"/>
          <w:highlight w:val="none"/>
        </w:rPr>
        <w:t>the</w:t>
      </w:r>
      <w:r>
        <w:rPr>
          <w:spacing w:val="-28"/>
          <w:sz w:val="24"/>
          <w:highlight w:val="none"/>
        </w:rPr>
        <w:t xml:space="preserve"> </w:t>
      </w:r>
      <w:r>
        <w:rPr>
          <w:sz w:val="24"/>
          <w:highlight w:val="none"/>
        </w:rPr>
        <w:t>purposes</w:t>
      </w:r>
      <w:r>
        <w:rPr>
          <w:spacing w:val="-27"/>
          <w:sz w:val="24"/>
          <w:highlight w:val="none"/>
        </w:rPr>
        <w:t xml:space="preserve"> </w:t>
      </w:r>
      <w:r>
        <w:rPr>
          <w:sz w:val="24"/>
          <w:highlight w:val="none"/>
        </w:rPr>
        <w:t>of</w:t>
      </w:r>
      <w:r>
        <w:rPr>
          <w:spacing w:val="-28"/>
          <w:sz w:val="24"/>
          <w:highlight w:val="none"/>
        </w:rPr>
        <w:t xml:space="preserve"> </w:t>
      </w:r>
      <w:r>
        <w:rPr>
          <w:sz w:val="24"/>
          <w:highlight w:val="none"/>
        </w:rPr>
        <w:t>the</w:t>
      </w:r>
      <w:r>
        <w:rPr>
          <w:spacing w:val="-27"/>
          <w:sz w:val="24"/>
          <w:highlight w:val="none"/>
        </w:rPr>
        <w:t xml:space="preserve"> </w:t>
      </w:r>
      <w:r>
        <w:rPr>
          <w:sz w:val="24"/>
          <w:highlight w:val="none"/>
        </w:rPr>
        <w:t>Law</w:t>
      </w:r>
      <w:r>
        <w:rPr>
          <w:spacing w:val="-29"/>
          <w:sz w:val="24"/>
          <w:highlight w:val="none"/>
        </w:rPr>
        <w:t xml:space="preserve"> </w:t>
      </w:r>
      <w:r>
        <w:rPr>
          <w:sz w:val="24"/>
          <w:highlight w:val="none"/>
        </w:rPr>
        <w:t>is</w:t>
      </w:r>
      <w:r>
        <w:rPr>
          <w:spacing w:val="-28"/>
          <w:sz w:val="24"/>
          <w:highlight w:val="none"/>
        </w:rPr>
        <w:t xml:space="preserve"> </w:t>
      </w:r>
      <w:r>
        <w:rPr>
          <w:sz w:val="24"/>
          <w:highlight w:val="none"/>
        </w:rPr>
        <w:t>any</w:t>
      </w:r>
      <w:r>
        <w:rPr>
          <w:spacing w:val="-28"/>
          <w:sz w:val="24"/>
          <w:highlight w:val="none"/>
        </w:rPr>
        <w:t xml:space="preserve"> </w:t>
      </w:r>
      <w:r>
        <w:rPr>
          <w:sz w:val="24"/>
          <w:highlight w:val="none"/>
        </w:rPr>
        <w:t>of</w:t>
      </w:r>
      <w:r>
        <w:rPr>
          <w:spacing w:val="-27"/>
          <w:sz w:val="24"/>
          <w:highlight w:val="none"/>
        </w:rPr>
        <w:t xml:space="preserve"> </w:t>
      </w:r>
      <w:r>
        <w:rPr>
          <w:sz w:val="24"/>
          <w:highlight w:val="none"/>
        </w:rPr>
        <w:t>the</w:t>
      </w:r>
      <w:r>
        <w:rPr>
          <w:spacing w:val="-28"/>
          <w:sz w:val="24"/>
          <w:highlight w:val="none"/>
        </w:rPr>
        <w:t xml:space="preserve"> </w:t>
      </w:r>
      <w:r>
        <w:rPr>
          <w:sz w:val="24"/>
          <w:highlight w:val="none"/>
        </w:rPr>
        <w:t>following</w:t>
      </w:r>
      <w:r>
        <w:rPr>
          <w:spacing w:val="-28"/>
          <w:sz w:val="24"/>
          <w:highlight w:val="none"/>
        </w:rPr>
        <w:t xml:space="preserve"> </w:t>
      </w:r>
      <w:r>
        <w:rPr>
          <w:sz w:val="24"/>
          <w:highlight w:val="none"/>
        </w:rPr>
        <w:t>entities:</w:t>
      </w:r>
      <w:r>
        <w:rPr>
          <w:spacing w:val="-28"/>
          <w:sz w:val="24"/>
          <w:highlight w:val="none"/>
        </w:rPr>
        <w:t xml:space="preserve"> </w:t>
      </w:r>
      <w:r>
        <w:rPr>
          <w:sz w:val="24"/>
          <w:highlight w:val="none"/>
        </w:rPr>
        <w:t xml:space="preserve">Cypriot </w:t>
      </w:r>
      <w:r>
        <w:rPr>
          <w:w w:val="95"/>
          <w:sz w:val="24"/>
          <w:highlight w:val="none"/>
        </w:rPr>
        <w:t>Investment Firms, other IFs, credit institutions, insurance companies, UCITS and UCITS management</w:t>
      </w:r>
      <w:r>
        <w:rPr>
          <w:spacing w:val="-23"/>
          <w:w w:val="95"/>
          <w:sz w:val="24"/>
          <w:highlight w:val="none"/>
        </w:rPr>
        <w:t xml:space="preserve"> </w:t>
      </w:r>
      <w:r>
        <w:rPr>
          <w:w w:val="95"/>
          <w:sz w:val="24"/>
          <w:highlight w:val="none"/>
        </w:rPr>
        <w:t>companies,</w:t>
      </w:r>
      <w:r>
        <w:rPr>
          <w:sz w:val="24"/>
          <w:highlight w:val="none"/>
        </w:rPr>
        <w:t xml:space="preserve"> pension funds and their management companies, other financial institutions authorised by a Member State or regulated under the laws of Cyprus or under European Union law, national governments and their corresponding offices, including public bodies that deal with public debt at national level, central banks, the Central Bank and supranational organisations. Third country entities equivalent to those categories of entities stated in in this paragraph can also be recognized as Eligible Counterparties.</w:t>
      </w:r>
    </w:p>
    <w:p>
      <w:pPr>
        <w:pStyle w:val="3"/>
        <w:spacing w:before="10"/>
        <w:rPr>
          <w:sz w:val="31"/>
          <w:highlight w:val="none"/>
        </w:rPr>
      </w:pPr>
    </w:p>
    <w:p>
      <w:pPr>
        <w:pStyle w:val="11"/>
        <w:numPr>
          <w:ilvl w:val="1"/>
          <w:numId w:val="2"/>
        </w:numPr>
        <w:tabs>
          <w:tab w:val="left" w:pos="2007"/>
        </w:tabs>
        <w:spacing w:line="384" w:lineRule="auto"/>
        <w:ind w:right="1436" w:hanging="566"/>
        <w:jc w:val="both"/>
        <w:rPr>
          <w:sz w:val="24"/>
          <w:highlight w:val="none"/>
        </w:rPr>
      </w:pPr>
      <w:r>
        <w:rPr>
          <w:sz w:val="24"/>
          <w:highlight w:val="none"/>
        </w:rPr>
        <w:t>The Company may recognize an undertaking as an eligible counterparty if that undertaking falls within a category of Clients who are to be considered Professional Clients in accordance with the first, second and third paragraph of Part A, of Annex II of the Law,</w:t>
      </w:r>
    </w:p>
    <w:p>
      <w:pPr>
        <w:pStyle w:val="3"/>
        <w:spacing w:line="271" w:lineRule="exact"/>
        <w:ind w:left="2006"/>
        <w:rPr>
          <w:szCs w:val="22"/>
          <w:highlight w:val="none"/>
        </w:rPr>
      </w:pPr>
      <w:r>
        <w:rPr>
          <w:szCs w:val="22"/>
          <w:highlight w:val="none"/>
        </w:rPr>
        <w:t>excluding any category which is explicitly mentioned in Section 41(2) of the Law.</w:t>
      </w:r>
    </w:p>
    <w:p>
      <w:pPr>
        <w:pStyle w:val="3"/>
        <w:spacing w:before="5"/>
        <w:rPr>
          <w:szCs w:val="22"/>
          <w:highlight w:val="none"/>
        </w:rPr>
      </w:pPr>
    </w:p>
    <w:p>
      <w:pPr>
        <w:pStyle w:val="11"/>
        <w:numPr>
          <w:ilvl w:val="1"/>
          <w:numId w:val="2"/>
        </w:numPr>
        <w:tabs>
          <w:tab w:val="left" w:pos="2007"/>
        </w:tabs>
        <w:spacing w:before="55" w:line="381" w:lineRule="auto"/>
        <w:ind w:right="1434" w:hanging="566"/>
        <w:jc w:val="both"/>
        <w:rPr>
          <w:sz w:val="24"/>
          <w:highlight w:val="none"/>
        </w:rPr>
      </w:pPr>
      <w:r>
        <w:rPr>
          <w:sz w:val="24"/>
          <w:highlight w:val="none"/>
        </w:rPr>
        <w:t>The Company may also recognize as eligible counterparties undertakings which fall within a category of Clients who are to be considered Professional Clients in accordance with Part II of Annex II of the Law. In such cases, however, the undertaking concerned shall be recognized as an Eligible Counterparty only in respect of the services or transactions for which it could be treated as a Professional Client.</w:t>
      </w:r>
    </w:p>
    <w:p>
      <w:pPr>
        <w:pStyle w:val="3"/>
        <w:spacing w:before="5"/>
        <w:rPr>
          <w:sz w:val="31"/>
          <w:highlight w:val="none"/>
        </w:rPr>
      </w:pPr>
    </w:p>
    <w:p>
      <w:pPr>
        <w:pStyle w:val="11"/>
        <w:numPr>
          <w:ilvl w:val="1"/>
          <w:numId w:val="2"/>
        </w:numPr>
        <w:tabs>
          <w:tab w:val="left" w:pos="2006"/>
          <w:tab w:val="left" w:pos="2007"/>
        </w:tabs>
        <w:spacing w:before="1" w:line="384" w:lineRule="auto"/>
        <w:ind w:right="1443" w:hanging="566"/>
        <w:rPr>
          <w:sz w:val="24"/>
          <w:highlight w:val="none"/>
        </w:rPr>
      </w:pPr>
      <w:r>
        <w:rPr>
          <w:sz w:val="24"/>
          <w:highlight w:val="none"/>
        </w:rPr>
        <w:t>The Eligible Counterparty category is applicable only for the following investment services and activity:</w:t>
      </w:r>
    </w:p>
    <w:p>
      <w:pPr>
        <w:pStyle w:val="11"/>
        <w:numPr>
          <w:ilvl w:val="2"/>
          <w:numId w:val="2"/>
        </w:numPr>
        <w:tabs>
          <w:tab w:val="left" w:pos="2434"/>
        </w:tabs>
        <w:spacing w:before="96"/>
        <w:rPr>
          <w:sz w:val="24"/>
          <w:highlight w:val="none"/>
        </w:rPr>
      </w:pPr>
      <w:r>
        <w:rPr>
          <w:sz w:val="24"/>
          <w:highlight w:val="none"/>
        </w:rPr>
        <w:t>Reception and transmission of Client Orders</w:t>
      </w:r>
    </w:p>
    <w:p>
      <w:pPr>
        <w:pStyle w:val="3"/>
        <w:rPr>
          <w:szCs w:val="22"/>
          <w:highlight w:val="none"/>
        </w:rPr>
      </w:pPr>
    </w:p>
    <w:p>
      <w:pPr>
        <w:pStyle w:val="11"/>
        <w:numPr>
          <w:ilvl w:val="2"/>
          <w:numId w:val="2"/>
        </w:numPr>
        <w:tabs>
          <w:tab w:val="left" w:pos="2434"/>
        </w:tabs>
        <w:rPr>
          <w:sz w:val="24"/>
        </w:rPr>
      </w:pPr>
      <w:r>
        <w:rPr>
          <w:sz w:val="24"/>
        </w:rPr>
        <w:t>Execution of Orders on behalf of Clients</w:t>
      </w:r>
    </w:p>
    <w:p>
      <w:pPr>
        <w:pStyle w:val="3"/>
      </w:pPr>
    </w:p>
    <w:p>
      <w:pPr>
        <w:pStyle w:val="3"/>
        <w:spacing w:before="5"/>
        <w:rPr>
          <w:sz w:val="21"/>
        </w:rPr>
      </w:pPr>
    </w:p>
    <w:p>
      <w:pPr>
        <w:pStyle w:val="2"/>
        <w:numPr>
          <w:ilvl w:val="0"/>
          <w:numId w:val="2"/>
        </w:numPr>
        <w:tabs>
          <w:tab w:val="left" w:pos="2006"/>
          <w:tab w:val="left" w:pos="2007"/>
        </w:tabs>
        <w:ind w:hanging="566"/>
        <w:rPr>
          <w:color w:val="C00000"/>
        </w:rPr>
      </w:pPr>
      <w:bookmarkStart w:id="7" w:name="_TOC_250001"/>
      <w:r>
        <w:rPr>
          <w:color w:val="C00000"/>
        </w:rPr>
        <w:t>Request</w:t>
      </w:r>
      <w:r>
        <w:rPr>
          <w:color w:val="C00000"/>
          <w:spacing w:val="-21"/>
        </w:rPr>
        <w:t xml:space="preserve"> </w:t>
      </w:r>
      <w:r>
        <w:rPr>
          <w:color w:val="C00000"/>
        </w:rPr>
        <w:t>for</w:t>
      </w:r>
      <w:r>
        <w:rPr>
          <w:color w:val="C00000"/>
          <w:spacing w:val="-20"/>
        </w:rPr>
        <w:t xml:space="preserve"> </w:t>
      </w:r>
      <w:r>
        <w:rPr>
          <w:color w:val="C00000"/>
        </w:rPr>
        <w:t>Different</w:t>
      </w:r>
      <w:r>
        <w:rPr>
          <w:color w:val="C00000"/>
          <w:spacing w:val="-23"/>
        </w:rPr>
        <w:t xml:space="preserve"> </w:t>
      </w:r>
      <w:bookmarkEnd w:id="7"/>
      <w:r>
        <w:rPr>
          <w:color w:val="C00000"/>
        </w:rPr>
        <w:t>Classification</w:t>
      </w:r>
    </w:p>
    <w:p>
      <w:pPr>
        <w:pStyle w:val="3"/>
        <w:rPr>
          <w:rFonts w:ascii="Trebuchet MS"/>
          <w:b/>
        </w:rPr>
      </w:pPr>
    </w:p>
    <w:p>
      <w:pPr>
        <w:pStyle w:val="3"/>
        <w:spacing w:before="10"/>
        <w:rPr>
          <w:rFonts w:ascii="Trebuchet MS"/>
          <w:b/>
          <w:sz w:val="20"/>
        </w:rPr>
      </w:pPr>
    </w:p>
    <w:p>
      <w:pPr>
        <w:pStyle w:val="11"/>
        <w:numPr>
          <w:ilvl w:val="1"/>
          <w:numId w:val="2"/>
        </w:numPr>
        <w:tabs>
          <w:tab w:val="left" w:pos="2006"/>
          <w:tab w:val="left" w:pos="2007"/>
        </w:tabs>
        <w:ind w:hanging="566"/>
        <w:rPr>
          <w:sz w:val="24"/>
          <w:highlight w:val="none"/>
        </w:rPr>
      </w:pPr>
      <w:r>
        <w:rPr>
          <w:sz w:val="24"/>
          <w:highlight w:val="none"/>
        </w:rPr>
        <w:t>The following types of requests are provided under the Law:</w:t>
      </w:r>
    </w:p>
    <w:p>
      <w:pPr>
        <w:pStyle w:val="3"/>
        <w:rPr>
          <w:szCs w:val="22"/>
          <w:highlight w:val="none"/>
        </w:rPr>
      </w:pPr>
    </w:p>
    <w:p>
      <w:pPr>
        <w:pStyle w:val="11"/>
        <w:numPr>
          <w:ilvl w:val="2"/>
          <w:numId w:val="2"/>
        </w:numPr>
        <w:tabs>
          <w:tab w:val="left" w:pos="2434"/>
        </w:tabs>
        <w:spacing w:line="381" w:lineRule="auto"/>
        <w:ind w:right="1436"/>
        <w:jc w:val="both"/>
        <w:rPr>
          <w:sz w:val="24"/>
          <w:highlight w:val="none"/>
        </w:rPr>
      </w:pPr>
      <w:r>
        <w:rPr>
          <w:sz w:val="24"/>
          <w:highlight w:val="none"/>
        </w:rPr>
        <w:t>A Retail Client has the right to request a different classification to become a Professional Client but he will be afforded a lower level of protection, see paragraph 3 above.</w:t>
      </w:r>
    </w:p>
    <w:p>
      <w:pPr>
        <w:pStyle w:val="11"/>
        <w:numPr>
          <w:ilvl w:val="2"/>
          <w:numId w:val="2"/>
        </w:numPr>
        <w:tabs>
          <w:tab w:val="left" w:pos="2434"/>
        </w:tabs>
        <w:spacing w:before="102" w:line="381" w:lineRule="auto"/>
        <w:ind w:right="1435"/>
        <w:jc w:val="both"/>
        <w:rPr>
          <w:sz w:val="24"/>
          <w:highlight w:val="none"/>
        </w:rPr>
      </w:pPr>
      <w:r>
        <w:rPr>
          <w:sz w:val="24"/>
          <w:highlight w:val="none"/>
        </w:rPr>
        <w:t>A Professional Client has the right to request a different classification as a Retail Client in Order to obtain a higher level of protection, see paragraph 2.2. above.</w:t>
      </w:r>
    </w:p>
    <w:p>
      <w:pPr>
        <w:pStyle w:val="11"/>
        <w:numPr>
          <w:ilvl w:val="2"/>
          <w:numId w:val="2"/>
        </w:numPr>
        <w:tabs>
          <w:tab w:val="left" w:pos="2434"/>
        </w:tabs>
        <w:spacing w:before="102" w:line="381" w:lineRule="auto"/>
        <w:ind w:right="1438"/>
        <w:jc w:val="both"/>
        <w:rPr>
          <w:sz w:val="24"/>
          <w:highlight w:val="none"/>
        </w:rPr>
      </w:pPr>
      <w:r>
        <w:rPr>
          <w:sz w:val="24"/>
          <w:highlight w:val="none"/>
        </w:rPr>
        <w:t>A Professional Client has the right to request to be treated as an Eligible Counterparty, obtaining therefore a lower level of protection, see paragraph 4.3. above.</w:t>
      </w:r>
    </w:p>
    <w:p>
      <w:pPr>
        <w:pStyle w:val="11"/>
        <w:numPr>
          <w:ilvl w:val="2"/>
          <w:numId w:val="2"/>
        </w:numPr>
        <w:tabs>
          <w:tab w:val="left" w:pos="2434"/>
        </w:tabs>
        <w:spacing w:before="101" w:line="381" w:lineRule="auto"/>
        <w:ind w:right="1442"/>
        <w:jc w:val="both"/>
        <w:rPr>
          <w:sz w:val="24"/>
          <w:highlight w:val="none"/>
        </w:rPr>
      </w:pPr>
      <w:r>
        <w:rPr>
          <w:sz w:val="24"/>
          <w:highlight w:val="none"/>
        </w:rPr>
        <w:t>An Eligible Counterparty has the right to request a different classification of either a Professional Client or Retail Client in Order to obtain a higher level of protection.</w:t>
      </w:r>
    </w:p>
    <w:p>
      <w:pPr>
        <w:pStyle w:val="3"/>
        <w:spacing w:before="5"/>
        <w:rPr>
          <w:sz w:val="31"/>
          <w:highlight w:val="yellow"/>
        </w:rPr>
      </w:pPr>
    </w:p>
    <w:p>
      <w:pPr>
        <w:pStyle w:val="11"/>
        <w:numPr>
          <w:ilvl w:val="1"/>
          <w:numId w:val="2"/>
        </w:numPr>
        <w:tabs>
          <w:tab w:val="left" w:pos="2006"/>
          <w:tab w:val="left" w:pos="2007"/>
        </w:tabs>
        <w:spacing w:line="381" w:lineRule="auto"/>
        <w:ind w:right="1436" w:hanging="566"/>
        <w:rPr>
          <w:sz w:val="24"/>
          <w:highlight w:val="none"/>
        </w:rPr>
      </w:pPr>
      <w:r>
        <w:rPr>
          <w:sz w:val="24"/>
          <w:highlight w:val="none"/>
        </w:rPr>
        <w:t>The Company has the right to decline any of the above Client’s requests for different classification.</w:t>
      </w:r>
    </w:p>
    <w:p>
      <w:pPr>
        <w:pStyle w:val="3"/>
        <w:spacing w:before="4"/>
        <w:rPr>
          <w:sz w:val="31"/>
        </w:rPr>
      </w:pPr>
    </w:p>
    <w:p>
      <w:pPr>
        <w:pStyle w:val="11"/>
        <w:numPr>
          <w:ilvl w:val="0"/>
          <w:numId w:val="2"/>
        </w:numPr>
        <w:tabs>
          <w:tab w:val="left" w:pos="2006"/>
          <w:tab w:val="left" w:pos="2007"/>
        </w:tabs>
        <w:spacing w:before="1" w:line="381" w:lineRule="auto"/>
        <w:ind w:right="1573" w:hanging="566"/>
        <w:rPr>
          <w:sz w:val="24"/>
        </w:rPr>
      </w:pPr>
      <w:r>
        <w:rPr>
          <w:sz w:val="24"/>
        </w:rPr>
        <w:t>Professional Clients and Eligible Counterparties are responsible for keeping the Company informed of any change which could affect their current categorisation. If the Company</w:t>
      </w:r>
    </w:p>
    <w:p>
      <w:pPr>
        <w:pStyle w:val="3"/>
        <w:spacing w:before="5"/>
        <w:rPr>
          <w:sz w:val="17"/>
        </w:rPr>
      </w:pPr>
    </w:p>
    <w:p>
      <w:pPr>
        <w:pStyle w:val="3"/>
        <w:spacing w:before="55" w:line="381" w:lineRule="auto"/>
        <w:ind w:left="2006" w:right="1885"/>
        <w:rPr>
          <w:szCs w:val="22"/>
        </w:rPr>
      </w:pPr>
      <w:bookmarkStart w:id="8" w:name="_Hlk19719340"/>
      <w:r>
        <w:rPr>
          <w:szCs w:val="22"/>
        </w:rPr>
        <w:t>becomes aware that the Client no longer fulfils the initial conditions, which made him eligible for a professional treatment, the Company shall take appropriate action.</w:t>
      </w:r>
    </w:p>
    <w:p>
      <w:pPr>
        <w:pStyle w:val="3"/>
        <w:spacing w:before="4"/>
        <w:rPr>
          <w:sz w:val="31"/>
        </w:rPr>
      </w:pPr>
    </w:p>
    <w:p>
      <w:pPr>
        <w:pStyle w:val="2"/>
        <w:numPr>
          <w:ilvl w:val="0"/>
          <w:numId w:val="3"/>
        </w:numPr>
        <w:tabs>
          <w:tab w:val="left" w:pos="2006"/>
          <w:tab w:val="left" w:pos="2007"/>
        </w:tabs>
        <w:ind w:hanging="566"/>
      </w:pPr>
      <w:bookmarkStart w:id="9" w:name="_TOC_250000"/>
      <w:r>
        <w:rPr>
          <w:color w:val="C00000"/>
        </w:rPr>
        <w:t>Protection</w:t>
      </w:r>
      <w:r>
        <w:rPr>
          <w:color w:val="C00000"/>
          <w:spacing w:val="-19"/>
        </w:rPr>
        <w:t xml:space="preserve"> </w:t>
      </w:r>
      <w:bookmarkEnd w:id="9"/>
      <w:r>
        <w:rPr>
          <w:color w:val="C00000"/>
        </w:rPr>
        <w:t>Rights</w:t>
      </w:r>
    </w:p>
    <w:p>
      <w:pPr>
        <w:pStyle w:val="3"/>
        <w:rPr>
          <w:rFonts w:ascii="Trebuchet MS"/>
          <w:b/>
        </w:rPr>
      </w:pPr>
    </w:p>
    <w:p>
      <w:pPr>
        <w:pStyle w:val="3"/>
        <w:spacing w:before="10"/>
        <w:rPr>
          <w:rFonts w:ascii="Trebuchet MS"/>
          <w:b/>
          <w:sz w:val="20"/>
        </w:rPr>
      </w:pPr>
    </w:p>
    <w:p>
      <w:pPr>
        <w:pStyle w:val="11"/>
        <w:numPr>
          <w:ilvl w:val="1"/>
          <w:numId w:val="3"/>
        </w:numPr>
        <w:tabs>
          <w:tab w:val="left" w:pos="2006"/>
          <w:tab w:val="left" w:pos="2007"/>
        </w:tabs>
        <w:ind w:hanging="566"/>
        <w:rPr>
          <w:sz w:val="24"/>
        </w:rPr>
      </w:pPr>
      <w:r>
        <w:rPr>
          <w:sz w:val="24"/>
        </w:rPr>
        <w:t>Retail and Professional Clients</w:t>
      </w:r>
    </w:p>
    <w:p>
      <w:pPr>
        <w:pStyle w:val="3"/>
        <w:spacing w:before="11"/>
        <w:rPr>
          <w:szCs w:val="22"/>
        </w:rPr>
      </w:pPr>
    </w:p>
    <w:p>
      <w:pPr>
        <w:pStyle w:val="3"/>
        <w:spacing w:line="470" w:lineRule="auto"/>
        <w:ind w:left="1440" w:right="963"/>
        <w:rPr>
          <w:szCs w:val="22"/>
        </w:rPr>
      </w:pPr>
      <w:r>
        <w:rPr>
          <w:szCs w:val="22"/>
        </w:rPr>
        <w:t>Where the Company treats a Client as a Retail Client, the Client is entitled to more protections under the Law, than if the Client was treated as a Professional Client. In summary, the protections Retail Clients are entitled to, are as follows (the list may not be exhaustive):</w:t>
      </w:r>
    </w:p>
    <w:p>
      <w:pPr>
        <w:pStyle w:val="11"/>
        <w:numPr>
          <w:ilvl w:val="2"/>
          <w:numId w:val="3"/>
        </w:numPr>
        <w:tabs>
          <w:tab w:val="left" w:pos="2434"/>
        </w:tabs>
        <w:spacing w:line="381" w:lineRule="auto"/>
        <w:ind w:right="1435"/>
        <w:jc w:val="both"/>
        <w:rPr>
          <w:sz w:val="24"/>
        </w:rPr>
      </w:pPr>
      <w:r>
        <w:rPr>
          <w:sz w:val="24"/>
        </w:rPr>
        <w:t>A Retail Client will be given more information disclosures with regards to the Company, its services, its financial instruments and their performance, the nature and risks of financial instruments, its costs, commissions, fees and charges and the safeguarding of Client financial instruments and Client funds, including summary details of any relevant investor compensation or deposit guarantee scheme, as applicable.</w:t>
      </w:r>
    </w:p>
    <w:p>
      <w:pPr>
        <w:pStyle w:val="3"/>
      </w:pPr>
    </w:p>
    <w:p>
      <w:pPr>
        <w:pStyle w:val="11"/>
        <w:numPr>
          <w:ilvl w:val="2"/>
          <w:numId w:val="3"/>
        </w:numPr>
        <w:tabs>
          <w:tab w:val="left" w:pos="2434"/>
        </w:tabs>
        <w:spacing w:before="144" w:line="381" w:lineRule="auto"/>
        <w:ind w:right="1433"/>
        <w:jc w:val="both"/>
        <w:rPr>
          <w:sz w:val="24"/>
        </w:rPr>
      </w:pPr>
      <w:r>
        <w:rPr>
          <w:sz w:val="24"/>
        </w:rPr>
        <w:t>Where the Company is providing the services of Reception &amp; Transmission of Orders and/or Execution of Client Orders, the Company shall ask a Retail Client to provide information regarding his knowledge and experience in the investment field relevant to the specific type of product or service offered or demanded, so as to enable the Company to assess whether the investment service or product envisaged is appropriate for the Client. In case the Company considers, on the basis of the information received, that the product or service is not appropriate to a Retail Client, it shall warn the Client accordingly. Please note that the Company is not required to assess appropriateness in certain cases specified by the Law (for example but not limited to the situation where on an execution only basis the financial instrument concerned is not complex).</w:t>
      </w:r>
    </w:p>
    <w:bookmarkEnd w:id="8"/>
    <w:p>
      <w:pPr>
        <w:pStyle w:val="3"/>
        <w:spacing w:before="5"/>
        <w:rPr>
          <w:sz w:val="17"/>
        </w:rPr>
      </w:pPr>
    </w:p>
    <w:p>
      <w:pPr>
        <w:pStyle w:val="3"/>
        <w:spacing w:before="55" w:line="381" w:lineRule="auto"/>
        <w:ind w:left="2434" w:right="1434"/>
        <w:jc w:val="both"/>
        <w:rPr>
          <w:szCs w:val="22"/>
        </w:rPr>
      </w:pPr>
      <w:r>
        <w:rPr>
          <w:szCs w:val="22"/>
        </w:rPr>
        <w:t>On the other hand, the Company shall be entitled to assume that a Professional Client has the necessary experience and knowledge in Order to understand the risks involved in relation to those particular investment services or transactions, or types of transaction or product, for which the Client is classified as a Professional Client. Consequently, and unlike the situation with a Retail Client, the Company should not generally need to obtain additional information from the Client for the purposes of the assessment of appropriateness for those products and services for which they have been classified as a Professional Client.</w:t>
      </w:r>
    </w:p>
    <w:p>
      <w:pPr>
        <w:pStyle w:val="3"/>
      </w:pPr>
    </w:p>
    <w:p>
      <w:pPr>
        <w:pStyle w:val="11"/>
        <w:numPr>
          <w:ilvl w:val="2"/>
          <w:numId w:val="3"/>
        </w:numPr>
        <w:tabs>
          <w:tab w:val="left" w:pos="2161"/>
        </w:tabs>
        <w:spacing w:before="150" w:line="381" w:lineRule="auto"/>
        <w:ind w:left="2160" w:right="1436" w:hanging="360"/>
        <w:jc w:val="both"/>
        <w:rPr>
          <w:sz w:val="24"/>
        </w:rPr>
      </w:pPr>
      <w:r>
        <w:rPr>
          <w:sz w:val="24"/>
        </w:rPr>
        <w:t>When executing Client Orders, the Company must take all reasonable steps to achieve what is called “best execution” of the Client’s Orders, that is to obtain the best possible result for its Clients.</w:t>
      </w:r>
    </w:p>
    <w:p>
      <w:pPr>
        <w:pStyle w:val="3"/>
        <w:spacing w:before="102" w:line="381" w:lineRule="auto"/>
        <w:ind w:left="2160" w:right="1434"/>
        <w:jc w:val="both"/>
        <w:rPr>
          <w:szCs w:val="22"/>
        </w:rPr>
      </w:pPr>
      <w:r>
        <w:rPr>
          <w:szCs w:val="22"/>
        </w:rPr>
        <w:t>Where the Company executes an Order of a Retail Client, the best possible result shall be determined in terms of the total consideration, representing the price of the financial instrument and the costs related to execution, which shall include all expenses incurred by the Client which are directly related to the execution of the Order, including execution venue fees, clearing and settlement fees and any other fees paid to third parties involved in the execution of the Order. The Company shall also send a notice to a Retail Client confirming execution of the Order as soon as possible and no later than the first business day following execution or, if the confirmation is received by the Company from a third party, no later than the first business day following receipt of the confirmation from the third party, as applicable.</w:t>
      </w:r>
    </w:p>
    <w:p>
      <w:pPr>
        <w:pStyle w:val="3"/>
        <w:spacing w:before="105" w:line="384" w:lineRule="auto"/>
        <w:ind w:left="2160" w:right="1441"/>
        <w:jc w:val="both"/>
        <w:rPr>
          <w:szCs w:val="22"/>
        </w:rPr>
      </w:pPr>
      <w:r>
        <w:rPr>
          <w:szCs w:val="22"/>
        </w:rPr>
        <w:t>Professional Clients are also entitled to a confirmation for the execution of their Orders however there is no specific timeframe involved as to when the Professional Client will receive this information. Nevertheless, this confirmation shall be provided promptly.</w:t>
      </w:r>
    </w:p>
    <w:p>
      <w:pPr>
        <w:pStyle w:val="11"/>
        <w:numPr>
          <w:ilvl w:val="2"/>
          <w:numId w:val="3"/>
        </w:numPr>
        <w:tabs>
          <w:tab w:val="left" w:pos="2161"/>
        </w:tabs>
        <w:spacing w:before="95" w:line="384" w:lineRule="auto"/>
        <w:ind w:left="2160" w:right="1441" w:hanging="360"/>
        <w:jc w:val="both"/>
        <w:rPr>
          <w:sz w:val="24"/>
        </w:rPr>
      </w:pPr>
      <w:r>
        <w:rPr>
          <w:sz w:val="24"/>
        </w:rPr>
        <w:t>The Company must inform Retail Clients of material difficulties relevant to the proper carrying out of their Order(s) promptly upon becoming aware of the difficulty.</w:t>
      </w:r>
    </w:p>
    <w:p>
      <w:pPr>
        <w:pStyle w:val="3"/>
        <w:spacing w:before="5"/>
        <w:rPr>
          <w:szCs w:val="22"/>
        </w:rPr>
      </w:pPr>
    </w:p>
    <w:p>
      <w:pPr>
        <w:pStyle w:val="11"/>
        <w:numPr>
          <w:ilvl w:val="2"/>
          <w:numId w:val="3"/>
        </w:numPr>
        <w:tabs>
          <w:tab w:val="left" w:pos="2161"/>
        </w:tabs>
        <w:spacing w:before="55" w:line="381" w:lineRule="auto"/>
        <w:ind w:left="2160" w:right="1435" w:hanging="360"/>
        <w:jc w:val="both"/>
        <w:rPr>
          <w:sz w:val="24"/>
        </w:rPr>
      </w:pPr>
      <w:r>
        <w:rPr>
          <w:sz w:val="24"/>
        </w:rPr>
        <w:t>The Company is required to provide Retail Clients with more information than Professional Clients as regards the execution of their Orders.</w:t>
      </w:r>
    </w:p>
    <w:p>
      <w:pPr>
        <w:pStyle w:val="11"/>
        <w:numPr>
          <w:ilvl w:val="2"/>
          <w:numId w:val="3"/>
        </w:numPr>
        <w:tabs>
          <w:tab w:val="left" w:pos="2161"/>
        </w:tabs>
        <w:spacing w:before="102" w:line="381" w:lineRule="auto"/>
        <w:ind w:left="2160" w:right="1441" w:hanging="360"/>
        <w:jc w:val="both"/>
        <w:rPr>
          <w:sz w:val="24"/>
        </w:rPr>
      </w:pPr>
      <w:r>
        <w:rPr>
          <w:sz w:val="24"/>
        </w:rPr>
        <w:t>The Company is obliged to enter into a written basic agreement with the retail Client, setting out the essential rights and obligation of both parties.</w:t>
      </w:r>
    </w:p>
    <w:p>
      <w:pPr>
        <w:pStyle w:val="11"/>
        <w:numPr>
          <w:ilvl w:val="2"/>
          <w:numId w:val="3"/>
        </w:numPr>
        <w:tabs>
          <w:tab w:val="left" w:pos="2161"/>
        </w:tabs>
        <w:spacing w:before="101" w:line="381" w:lineRule="auto"/>
        <w:ind w:left="2160" w:right="1438" w:hanging="360"/>
        <w:jc w:val="both"/>
        <w:rPr>
          <w:sz w:val="24"/>
          <w:highlight w:val="none"/>
        </w:rPr>
      </w:pPr>
      <w:r>
        <w:rPr>
          <w:w w:val="95"/>
          <w:sz w:val="24"/>
          <w:highlight w:val="none"/>
        </w:rPr>
        <w:t>Retail</w:t>
      </w:r>
      <w:r>
        <w:rPr>
          <w:spacing w:val="-8"/>
          <w:w w:val="95"/>
          <w:sz w:val="24"/>
          <w:highlight w:val="none"/>
        </w:rPr>
        <w:t xml:space="preserve"> </w:t>
      </w:r>
      <w:r>
        <w:rPr>
          <w:w w:val="95"/>
          <w:sz w:val="24"/>
          <w:highlight w:val="none"/>
        </w:rPr>
        <w:t>Clients</w:t>
      </w:r>
      <w:r>
        <w:rPr>
          <w:spacing w:val="-9"/>
          <w:w w:val="95"/>
          <w:sz w:val="24"/>
          <w:highlight w:val="none"/>
        </w:rPr>
        <w:t xml:space="preserve"> </w:t>
      </w:r>
      <w:r>
        <w:rPr>
          <w:w w:val="95"/>
          <w:sz w:val="24"/>
          <w:highlight w:val="none"/>
        </w:rPr>
        <w:t>may</w:t>
      </w:r>
      <w:r>
        <w:rPr>
          <w:spacing w:val="-9"/>
          <w:w w:val="95"/>
          <w:sz w:val="24"/>
          <w:highlight w:val="none"/>
        </w:rPr>
        <w:t xml:space="preserve"> </w:t>
      </w:r>
      <w:r>
        <w:rPr>
          <w:w w:val="95"/>
          <w:sz w:val="24"/>
          <w:highlight w:val="none"/>
        </w:rPr>
        <w:t>be</w:t>
      </w:r>
      <w:r>
        <w:rPr>
          <w:spacing w:val="-9"/>
          <w:w w:val="95"/>
          <w:sz w:val="24"/>
          <w:highlight w:val="none"/>
        </w:rPr>
        <w:t xml:space="preserve"> </w:t>
      </w:r>
      <w:r>
        <w:rPr>
          <w:w w:val="95"/>
          <w:sz w:val="24"/>
          <w:highlight w:val="none"/>
        </w:rPr>
        <w:t>entitled</w:t>
      </w:r>
      <w:r>
        <w:rPr>
          <w:spacing w:val="-8"/>
          <w:w w:val="95"/>
          <w:sz w:val="24"/>
          <w:highlight w:val="none"/>
        </w:rPr>
        <w:t xml:space="preserve"> </w:t>
      </w:r>
      <w:r>
        <w:rPr>
          <w:w w:val="95"/>
          <w:sz w:val="24"/>
          <w:highlight w:val="none"/>
        </w:rPr>
        <w:t>to</w:t>
      </w:r>
      <w:r>
        <w:rPr>
          <w:spacing w:val="-9"/>
          <w:w w:val="95"/>
          <w:sz w:val="24"/>
          <w:highlight w:val="none"/>
        </w:rPr>
        <w:t xml:space="preserve"> </w:t>
      </w:r>
      <w:r>
        <w:rPr>
          <w:w w:val="95"/>
          <w:sz w:val="24"/>
          <w:highlight w:val="none"/>
        </w:rPr>
        <w:t>compensation</w:t>
      </w:r>
      <w:r>
        <w:rPr>
          <w:spacing w:val="-9"/>
          <w:w w:val="95"/>
          <w:sz w:val="24"/>
          <w:highlight w:val="none"/>
        </w:rPr>
        <w:t xml:space="preserve"> </w:t>
      </w:r>
      <w:r>
        <w:rPr>
          <w:w w:val="95"/>
          <w:sz w:val="24"/>
          <w:highlight w:val="none"/>
        </w:rPr>
        <w:t>under</w:t>
      </w:r>
      <w:r>
        <w:rPr>
          <w:spacing w:val="-10"/>
          <w:w w:val="95"/>
          <w:sz w:val="24"/>
          <w:highlight w:val="none"/>
        </w:rPr>
        <w:t xml:space="preserve"> </w:t>
      </w:r>
      <w:r>
        <w:rPr>
          <w:w w:val="95"/>
          <w:sz w:val="24"/>
          <w:highlight w:val="none"/>
        </w:rPr>
        <w:t>the</w:t>
      </w:r>
      <w:r>
        <w:rPr>
          <w:spacing w:val="-9"/>
          <w:w w:val="95"/>
          <w:sz w:val="24"/>
          <w:highlight w:val="none"/>
        </w:rPr>
        <w:t xml:space="preserve"> </w:t>
      </w:r>
      <w:r>
        <w:rPr>
          <w:w w:val="95"/>
          <w:sz w:val="24"/>
          <w:highlight w:val="none"/>
        </w:rPr>
        <w:t>Investor</w:t>
      </w:r>
      <w:r>
        <w:rPr>
          <w:spacing w:val="-9"/>
          <w:w w:val="95"/>
          <w:sz w:val="24"/>
          <w:highlight w:val="none"/>
        </w:rPr>
        <w:t xml:space="preserve"> </w:t>
      </w:r>
      <w:r>
        <w:rPr>
          <w:w w:val="95"/>
          <w:sz w:val="24"/>
          <w:highlight w:val="none"/>
        </w:rPr>
        <w:t>Compensation</w:t>
      </w:r>
      <w:r>
        <w:rPr>
          <w:spacing w:val="-8"/>
          <w:w w:val="95"/>
          <w:sz w:val="24"/>
          <w:highlight w:val="none"/>
        </w:rPr>
        <w:t xml:space="preserve"> </w:t>
      </w:r>
      <w:r>
        <w:rPr>
          <w:w w:val="95"/>
          <w:sz w:val="24"/>
          <w:highlight w:val="none"/>
        </w:rPr>
        <w:t xml:space="preserve">Fund </w:t>
      </w:r>
      <w:r>
        <w:rPr>
          <w:sz w:val="24"/>
          <w:highlight w:val="none"/>
        </w:rPr>
        <w:t>(“ICF”)</w:t>
      </w:r>
      <w:r>
        <w:rPr>
          <w:spacing w:val="-16"/>
          <w:sz w:val="24"/>
          <w:highlight w:val="none"/>
        </w:rPr>
        <w:t xml:space="preserve"> </w:t>
      </w:r>
      <w:r>
        <w:rPr>
          <w:sz w:val="24"/>
          <w:highlight w:val="none"/>
        </w:rPr>
        <w:t>for</w:t>
      </w:r>
      <w:r>
        <w:rPr>
          <w:spacing w:val="-17"/>
          <w:sz w:val="24"/>
          <w:highlight w:val="none"/>
        </w:rPr>
        <w:t xml:space="preserve"> </w:t>
      </w:r>
      <w:r>
        <w:rPr>
          <w:sz w:val="24"/>
          <w:highlight w:val="none"/>
        </w:rPr>
        <w:t>Clients</w:t>
      </w:r>
      <w:r>
        <w:rPr>
          <w:spacing w:val="-17"/>
          <w:sz w:val="24"/>
          <w:highlight w:val="none"/>
        </w:rPr>
        <w:t xml:space="preserve"> </w:t>
      </w:r>
      <w:r>
        <w:rPr>
          <w:sz w:val="24"/>
          <w:highlight w:val="none"/>
        </w:rPr>
        <w:t>of</w:t>
      </w:r>
      <w:r>
        <w:rPr>
          <w:spacing w:val="-15"/>
          <w:sz w:val="24"/>
          <w:highlight w:val="none"/>
        </w:rPr>
        <w:t xml:space="preserve"> </w:t>
      </w:r>
      <w:r>
        <w:rPr>
          <w:sz w:val="24"/>
          <w:highlight w:val="none"/>
        </w:rPr>
        <w:t>Investment</w:t>
      </w:r>
      <w:r>
        <w:rPr>
          <w:spacing w:val="-17"/>
          <w:sz w:val="24"/>
          <w:highlight w:val="none"/>
        </w:rPr>
        <w:t xml:space="preserve"> </w:t>
      </w:r>
      <w:r>
        <w:rPr>
          <w:sz w:val="24"/>
          <w:highlight w:val="none"/>
        </w:rPr>
        <w:t>Firms,</w:t>
      </w:r>
      <w:r>
        <w:rPr>
          <w:spacing w:val="-16"/>
          <w:sz w:val="24"/>
          <w:highlight w:val="none"/>
        </w:rPr>
        <w:t xml:space="preserve"> </w:t>
      </w:r>
      <w:r>
        <w:rPr>
          <w:sz w:val="24"/>
          <w:highlight w:val="none"/>
        </w:rPr>
        <w:t>while</w:t>
      </w:r>
      <w:r>
        <w:rPr>
          <w:spacing w:val="-16"/>
          <w:sz w:val="24"/>
          <w:highlight w:val="none"/>
        </w:rPr>
        <w:t xml:space="preserve"> </w:t>
      </w:r>
      <w:r>
        <w:rPr>
          <w:sz w:val="24"/>
          <w:highlight w:val="none"/>
        </w:rPr>
        <w:t>Professional</w:t>
      </w:r>
      <w:r>
        <w:rPr>
          <w:spacing w:val="-17"/>
          <w:sz w:val="24"/>
          <w:highlight w:val="none"/>
        </w:rPr>
        <w:t xml:space="preserve"> </w:t>
      </w:r>
      <w:r>
        <w:rPr>
          <w:sz w:val="24"/>
          <w:highlight w:val="none"/>
        </w:rPr>
        <w:t>Clients</w:t>
      </w:r>
      <w:r>
        <w:rPr>
          <w:spacing w:val="-17"/>
          <w:sz w:val="24"/>
          <w:highlight w:val="none"/>
        </w:rPr>
        <w:t xml:space="preserve"> </w:t>
      </w:r>
      <w:r>
        <w:rPr>
          <w:sz w:val="24"/>
          <w:highlight w:val="none"/>
        </w:rPr>
        <w:t>are</w:t>
      </w:r>
      <w:r>
        <w:rPr>
          <w:spacing w:val="-17"/>
          <w:sz w:val="24"/>
          <w:highlight w:val="none"/>
        </w:rPr>
        <w:t xml:space="preserve"> </w:t>
      </w:r>
      <w:r>
        <w:rPr>
          <w:sz w:val="24"/>
          <w:highlight w:val="none"/>
        </w:rPr>
        <w:t>not</w:t>
      </w:r>
      <w:r>
        <w:rPr>
          <w:spacing w:val="-16"/>
          <w:sz w:val="24"/>
          <w:highlight w:val="none"/>
        </w:rPr>
        <w:t xml:space="preserve"> </w:t>
      </w:r>
      <w:r>
        <w:rPr>
          <w:sz w:val="24"/>
          <w:highlight w:val="none"/>
        </w:rPr>
        <w:t>entitled</w:t>
      </w:r>
      <w:r>
        <w:rPr>
          <w:spacing w:val="-16"/>
          <w:sz w:val="24"/>
          <w:highlight w:val="none"/>
        </w:rPr>
        <w:t xml:space="preserve"> </w:t>
      </w:r>
      <w:r>
        <w:rPr>
          <w:sz w:val="24"/>
          <w:highlight w:val="none"/>
        </w:rPr>
        <w:t>to compensation under the</w:t>
      </w:r>
      <w:r>
        <w:rPr>
          <w:rFonts w:hint="eastAsia" w:eastAsia="宋体"/>
          <w:sz w:val="24"/>
          <w:highlight w:val="none"/>
          <w:lang w:val="en-US" w:eastAsia="zh-CN"/>
        </w:rPr>
        <w:t xml:space="preserve"> </w:t>
      </w:r>
      <w:r>
        <w:rPr>
          <w:spacing w:val="-48"/>
          <w:sz w:val="24"/>
          <w:highlight w:val="none"/>
        </w:rPr>
        <w:t xml:space="preserve"> </w:t>
      </w:r>
      <w:r>
        <w:rPr>
          <w:sz w:val="24"/>
          <w:highlight w:val="none"/>
        </w:rPr>
        <w:t>ICF.</w:t>
      </w:r>
    </w:p>
    <w:p>
      <w:pPr>
        <w:pStyle w:val="3"/>
        <w:spacing w:before="5"/>
        <w:rPr>
          <w:szCs w:val="22"/>
        </w:rPr>
      </w:pPr>
      <w:bookmarkStart w:id="11" w:name="_GoBack"/>
      <w:bookmarkEnd w:id="11"/>
    </w:p>
    <w:p>
      <w:pPr>
        <w:pStyle w:val="11"/>
        <w:numPr>
          <w:ilvl w:val="1"/>
          <w:numId w:val="3"/>
        </w:numPr>
        <w:tabs>
          <w:tab w:val="left" w:pos="2006"/>
          <w:tab w:val="left" w:pos="2007"/>
        </w:tabs>
        <w:spacing w:before="1"/>
        <w:ind w:hanging="566"/>
        <w:rPr>
          <w:sz w:val="24"/>
        </w:rPr>
      </w:pPr>
      <w:r>
        <w:rPr>
          <w:sz w:val="24"/>
        </w:rPr>
        <w:t>Eligible Counterparties</w:t>
      </w:r>
    </w:p>
    <w:p>
      <w:pPr>
        <w:pStyle w:val="3"/>
        <w:spacing w:before="10"/>
        <w:rPr>
          <w:szCs w:val="22"/>
        </w:rPr>
      </w:pPr>
    </w:p>
    <w:p>
      <w:pPr>
        <w:pStyle w:val="3"/>
        <w:spacing w:before="1" w:line="381" w:lineRule="auto"/>
        <w:ind w:left="2006" w:right="1436"/>
        <w:jc w:val="both"/>
        <w:rPr>
          <w:szCs w:val="22"/>
        </w:rPr>
      </w:pPr>
      <w:r>
        <w:rPr>
          <w:szCs w:val="22"/>
        </w:rPr>
        <w:t>Where the Company treats the Client as an Eligible Counterparty, the Client will be entitled to fewer protections under the Law than it would be entitled to as a Retail or Professional Client. In particular and in addition to the above of paragraph 6.1 (the list may not be exhaustive):</w:t>
      </w:r>
    </w:p>
    <w:p>
      <w:pPr>
        <w:pStyle w:val="3"/>
      </w:pPr>
    </w:p>
    <w:p>
      <w:pPr>
        <w:pStyle w:val="3"/>
        <w:spacing w:before="9"/>
        <w:rPr>
          <w:sz w:val="31"/>
        </w:rPr>
      </w:pPr>
    </w:p>
    <w:p>
      <w:pPr>
        <w:pStyle w:val="11"/>
        <w:numPr>
          <w:ilvl w:val="2"/>
          <w:numId w:val="3"/>
        </w:numPr>
        <w:tabs>
          <w:tab w:val="left" w:pos="2434"/>
        </w:tabs>
        <w:spacing w:before="1"/>
        <w:jc w:val="left"/>
        <w:rPr>
          <w:sz w:val="24"/>
        </w:rPr>
      </w:pPr>
      <w:r>
        <w:rPr>
          <w:sz w:val="24"/>
        </w:rPr>
        <w:t>the Company is not required to provide the Client with best execution in executing the</w:t>
      </w:r>
    </w:p>
    <w:p>
      <w:pPr>
        <w:pStyle w:val="3"/>
        <w:spacing w:before="163"/>
        <w:ind w:left="2434"/>
        <w:rPr>
          <w:szCs w:val="22"/>
        </w:rPr>
      </w:pPr>
      <w:r>
        <w:rPr>
          <w:szCs w:val="22"/>
        </w:rPr>
        <w:t>Client’s Orders.</w:t>
      </w:r>
    </w:p>
    <w:p>
      <w:pPr>
        <w:pStyle w:val="3"/>
        <w:rPr>
          <w:szCs w:val="22"/>
        </w:rPr>
      </w:pPr>
    </w:p>
    <w:p>
      <w:pPr>
        <w:pStyle w:val="11"/>
        <w:numPr>
          <w:ilvl w:val="2"/>
          <w:numId w:val="3"/>
        </w:numPr>
        <w:tabs>
          <w:tab w:val="left" w:pos="2434"/>
        </w:tabs>
        <w:spacing w:line="381" w:lineRule="auto"/>
        <w:ind w:right="1440"/>
        <w:jc w:val="both"/>
        <w:rPr>
          <w:sz w:val="24"/>
        </w:rPr>
      </w:pPr>
      <w:r>
        <w:rPr>
          <w:sz w:val="24"/>
        </w:rPr>
        <w:t>the Company is not required to implement procedures and arrangements which provide for the prompt, fair and expeditious execution of its Client Orders, relative to other Client Orders or its trading interests.</w:t>
      </w:r>
    </w:p>
    <w:p>
      <w:pPr>
        <w:pStyle w:val="11"/>
        <w:numPr>
          <w:ilvl w:val="2"/>
          <w:numId w:val="3"/>
        </w:numPr>
        <w:tabs>
          <w:tab w:val="left" w:pos="2434"/>
        </w:tabs>
        <w:spacing w:before="102" w:line="381" w:lineRule="auto"/>
        <w:ind w:right="1438"/>
        <w:jc w:val="both"/>
        <w:rPr>
          <w:sz w:val="24"/>
        </w:rPr>
      </w:pPr>
      <w:r>
        <w:rPr>
          <w:sz w:val="24"/>
        </w:rPr>
        <w:t>the Company is not required to assess the appropriateness of a product or service that it provides to Client but can assume that the Client have the expertise to choose the most appropriate product or service for itself.</w:t>
      </w:r>
    </w:p>
    <w:p>
      <w:pPr>
        <w:pStyle w:val="11"/>
        <w:numPr>
          <w:ilvl w:val="2"/>
          <w:numId w:val="3"/>
        </w:numPr>
        <w:tabs>
          <w:tab w:val="left" w:pos="2434"/>
        </w:tabs>
        <w:spacing w:before="102" w:line="381" w:lineRule="auto"/>
        <w:ind w:right="1438"/>
        <w:jc w:val="both"/>
        <w:rPr>
          <w:sz w:val="24"/>
        </w:rPr>
      </w:pPr>
      <w:r>
        <w:rPr>
          <w:sz w:val="24"/>
        </w:rPr>
        <w:t>the Company is not required to provide the Client with information about the Company, its services, financial instruments and proposed investment strategies, execution venues, the arrangements through which the Company will be remunerated and other relevant information.</w:t>
      </w:r>
    </w:p>
    <w:p>
      <w:pPr>
        <w:pStyle w:val="3"/>
        <w:spacing w:before="5"/>
        <w:rPr>
          <w:szCs w:val="22"/>
        </w:rPr>
      </w:pPr>
    </w:p>
    <w:p>
      <w:pPr>
        <w:pStyle w:val="11"/>
        <w:numPr>
          <w:ilvl w:val="2"/>
          <w:numId w:val="3"/>
        </w:numPr>
        <w:tabs>
          <w:tab w:val="left" w:pos="2434"/>
        </w:tabs>
        <w:spacing w:before="55" w:line="381" w:lineRule="auto"/>
        <w:ind w:right="1440"/>
        <w:jc w:val="left"/>
        <w:rPr>
          <w:sz w:val="24"/>
        </w:rPr>
      </w:pPr>
      <w:bookmarkStart w:id="10" w:name="_Hlk19719478"/>
      <w:r>
        <w:rPr>
          <w:sz w:val="24"/>
        </w:rPr>
        <w:t>the Company is not required to provide reports to the Client on the execution of its Orders or the management of his investments.</w:t>
      </w:r>
    </w:p>
    <w:p>
      <w:pPr>
        <w:pStyle w:val="11"/>
        <w:numPr>
          <w:ilvl w:val="2"/>
          <w:numId w:val="3"/>
        </w:numPr>
        <w:tabs>
          <w:tab w:val="left" w:pos="2433"/>
          <w:tab w:val="left" w:pos="2434"/>
        </w:tabs>
        <w:spacing w:before="102"/>
        <w:jc w:val="left"/>
        <w:rPr>
          <w:sz w:val="24"/>
        </w:rPr>
      </w:pPr>
      <w:r>
        <w:rPr>
          <w:sz w:val="24"/>
        </w:rPr>
        <w:t>the Investors Compensation Fund does not cover Eligible Counterparties.</w:t>
      </w:r>
    </w:p>
    <w:p>
      <w:pPr>
        <w:pStyle w:val="3"/>
      </w:pPr>
    </w:p>
    <w:p>
      <w:pPr>
        <w:pStyle w:val="3"/>
      </w:pPr>
    </w:p>
    <w:p>
      <w:pPr>
        <w:pStyle w:val="3"/>
      </w:pPr>
    </w:p>
    <w:p>
      <w:pPr>
        <w:pStyle w:val="3"/>
      </w:pPr>
    </w:p>
    <w:p>
      <w:pPr>
        <w:spacing w:before="165"/>
        <w:ind w:left="1440"/>
        <w:rPr>
          <w:i/>
        </w:rPr>
      </w:pPr>
      <w:r>
        <w:rPr>
          <w:i/>
        </w:rPr>
        <w:t>Version: 2019/0</w:t>
      </w:r>
      <w:bookmarkEnd w:id="10"/>
      <w:r>
        <w:rPr>
          <w:i/>
        </w:rPr>
        <w:t>9</w:t>
      </w:r>
    </w:p>
    <w:sectPr>
      <w:pgSz w:w="12240" w:h="15840"/>
      <w:pgMar w:top="1180" w:right="0" w:bottom="1380" w:left="0" w:header="755" w:footer="1163"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PMingLiU">
    <w:panose1 w:val="02020500000000000000"/>
    <w:charset w:val="88"/>
    <w:family w:val="auto"/>
    <w:pitch w:val="default"/>
    <w:sig w:usb0="A00002FF" w:usb1="28CFFCFA" w:usb2="00000016" w:usb3="00000000" w:csb0="00100001" w:csb1="00000000"/>
  </w:font>
  <w:font w:name="Arial">
    <w:panose1 w:val="020B0604020202020204"/>
    <w:charset w:val="00"/>
    <w:family w:val="swiss"/>
    <w:pitch w:val="default"/>
    <w:sig w:usb0="E0002EFF" w:usb1="C000785B" w:usb2="00000009" w:usb3="00000000" w:csb0="400001FF" w:csb1="FFFF0000"/>
  </w:font>
  <w:font w:name="Trebuchet MS">
    <w:panose1 w:val="020B0603020202020204"/>
    <w:charset w:val="00"/>
    <w:family w:val="swiss"/>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503308288" behindDoc="1" locked="0" layoutInCell="1" allowOverlap="1">
              <wp:simplePos x="0" y="0"/>
              <wp:positionH relativeFrom="page">
                <wp:posOffset>2128520</wp:posOffset>
              </wp:positionH>
              <wp:positionV relativeFrom="page">
                <wp:posOffset>9167495</wp:posOffset>
              </wp:positionV>
              <wp:extent cx="3514725" cy="445770"/>
              <wp:effectExtent l="4445" t="4445" r="0" b="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3514725" cy="445770"/>
                      </a:xfrm>
                      <a:prstGeom prst="rect">
                        <a:avLst/>
                      </a:prstGeom>
                      <a:noFill/>
                      <a:ln>
                        <a:noFill/>
                      </a:ln>
                    </wps:spPr>
                    <wps:txbx>
                      <w:txbxContent>
                        <w:p>
                          <w:pPr>
                            <w:spacing w:line="232" w:lineRule="exact"/>
                            <w:ind w:left="5" w:right="2"/>
                            <w:jc w:val="center"/>
                          </w:pPr>
                          <w:r>
                            <w:fldChar w:fldCharType="begin"/>
                          </w:r>
                          <w:r>
                            <w:instrText xml:space="preserve"> PAGE </w:instrText>
                          </w:r>
                          <w:r>
                            <w:fldChar w:fldCharType="separate"/>
                          </w:r>
                          <w:r>
                            <w:t>10</w:t>
                          </w:r>
                          <w:r>
                            <w:fldChar w:fldCharType="end"/>
                          </w:r>
                        </w:p>
                        <w:p>
                          <w:pPr>
                            <w:spacing w:before="15"/>
                            <w:ind w:left="5" w:right="5"/>
                            <w:jc w:val="center"/>
                            <w:rPr>
                              <w:sz w:val="18"/>
                            </w:rPr>
                          </w:pPr>
                          <w:r>
                            <w:rPr>
                              <w:w w:val="95"/>
                              <w:sz w:val="18"/>
                            </w:rPr>
                            <w:t>Registered</w:t>
                          </w:r>
                          <w:r>
                            <w:rPr>
                              <w:spacing w:val="-28"/>
                              <w:w w:val="95"/>
                              <w:sz w:val="18"/>
                            </w:rPr>
                            <w:t xml:space="preserve"> </w:t>
                          </w:r>
                          <w:r>
                            <w:rPr>
                              <w:w w:val="95"/>
                              <w:sz w:val="18"/>
                            </w:rPr>
                            <w:t>in</w:t>
                          </w:r>
                          <w:r>
                            <w:rPr>
                              <w:spacing w:val="-26"/>
                              <w:w w:val="95"/>
                              <w:sz w:val="18"/>
                            </w:rPr>
                            <w:t xml:space="preserve"> </w:t>
                          </w:r>
                          <w:r>
                            <w:rPr>
                              <w:w w:val="95"/>
                              <w:sz w:val="18"/>
                            </w:rPr>
                            <w:t>the</w:t>
                          </w:r>
                          <w:r>
                            <w:rPr>
                              <w:spacing w:val="-27"/>
                              <w:w w:val="95"/>
                              <w:sz w:val="18"/>
                            </w:rPr>
                            <w:t xml:space="preserve"> </w:t>
                          </w:r>
                          <w:r>
                            <w:rPr>
                              <w:w w:val="95"/>
                              <w:sz w:val="18"/>
                            </w:rPr>
                            <w:t>Financial</w:t>
                          </w:r>
                          <w:r>
                            <w:rPr>
                              <w:spacing w:val="-27"/>
                              <w:w w:val="95"/>
                              <w:sz w:val="18"/>
                            </w:rPr>
                            <w:t xml:space="preserve"> </w:t>
                          </w:r>
                          <w:r>
                            <w:rPr>
                              <w:w w:val="95"/>
                              <w:sz w:val="18"/>
                            </w:rPr>
                            <w:t>Services</w:t>
                          </w:r>
                          <w:r>
                            <w:rPr>
                              <w:spacing w:val="-27"/>
                              <w:w w:val="95"/>
                              <w:sz w:val="18"/>
                            </w:rPr>
                            <w:t xml:space="preserve"> </w:t>
                          </w:r>
                          <w:r>
                            <w:rPr>
                              <w:w w:val="95"/>
                              <w:sz w:val="18"/>
                            </w:rPr>
                            <w:t>Authority</w:t>
                          </w:r>
                          <w:r>
                            <w:rPr>
                              <w:spacing w:val="-26"/>
                              <w:w w:val="95"/>
                              <w:sz w:val="18"/>
                            </w:rPr>
                            <w:t xml:space="preserve"> </w:t>
                          </w:r>
                          <w:r>
                            <w:rPr>
                              <w:w w:val="95"/>
                              <w:sz w:val="18"/>
                            </w:rPr>
                            <w:t>St.</w:t>
                          </w:r>
                          <w:r>
                            <w:rPr>
                              <w:spacing w:val="-27"/>
                              <w:w w:val="95"/>
                              <w:sz w:val="18"/>
                            </w:rPr>
                            <w:t xml:space="preserve"> </w:t>
                          </w:r>
                          <w:r>
                            <w:rPr>
                              <w:w w:val="95"/>
                              <w:sz w:val="18"/>
                            </w:rPr>
                            <w:t>Vincent</w:t>
                          </w:r>
                          <w:r>
                            <w:rPr>
                              <w:spacing w:val="-26"/>
                              <w:w w:val="95"/>
                              <w:sz w:val="18"/>
                            </w:rPr>
                            <w:t xml:space="preserve"> </w:t>
                          </w:r>
                          <w:r>
                            <w:rPr>
                              <w:w w:val="95"/>
                              <w:sz w:val="18"/>
                            </w:rPr>
                            <w:t>&amp;</w:t>
                          </w:r>
                          <w:r>
                            <w:rPr>
                              <w:spacing w:val="-27"/>
                              <w:w w:val="95"/>
                              <w:sz w:val="18"/>
                            </w:rPr>
                            <w:t xml:space="preserve"> </w:t>
                          </w:r>
                          <w:r>
                            <w:rPr>
                              <w:w w:val="95"/>
                              <w:sz w:val="18"/>
                            </w:rPr>
                            <w:t>the</w:t>
                          </w:r>
                          <w:r>
                            <w:rPr>
                              <w:spacing w:val="-25"/>
                              <w:w w:val="95"/>
                              <w:sz w:val="18"/>
                            </w:rPr>
                            <w:t xml:space="preserve"> </w:t>
                          </w:r>
                          <w:r>
                            <w:rPr>
                              <w:w w:val="95"/>
                              <w:sz w:val="18"/>
                            </w:rPr>
                            <w:t>Grenadines.</w:t>
                          </w:r>
                        </w:p>
                        <w:p>
                          <w:pPr>
                            <w:spacing w:before="13"/>
                            <w:ind w:left="5" w:right="3"/>
                            <w:jc w:val="center"/>
                            <w:rPr>
                              <w:sz w:val="18"/>
                            </w:rPr>
                          </w:pPr>
                          <w:r>
                            <w:rPr>
                              <w:sz w:val="18"/>
                            </w:rPr>
                            <w:t>Registration number 25515 BC 2019</w:t>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167.6pt;margin-top:721.85pt;height:35.1pt;width:276.75pt;mso-position-horizontal-relative:page;mso-position-vertical-relative:page;z-index:-8192;mso-width-relative:page;mso-height-relative:page;" filled="f" stroked="f" coordsize="21600,21600" o:gfxdata="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iuUZHc&#10;AAAADQEAAA8AAAAAAAAAAQAgAAAAIgAAAGRycy9kb3ducmV2LnhtbFBLAQIUABQAAAAIAIdO4kC2&#10;KohJ4wEAALYDAAAOAAAAAAAAAAEAIAAAACsBAABkcnMvZTJvRG9jLnhtbFBLBQYAAAAABgAGAFkB&#10;AACABQAAAAA=&#10;">
              <v:fill on="f" focussize="0,0"/>
              <v:stroke on="f"/>
              <v:imagedata o:title=""/>
              <o:lock v:ext="edit" aspectratio="f"/>
              <v:textbox inset="0mm,0mm,0mm,0mm">
                <w:txbxContent>
                  <w:p>
                    <w:pPr>
                      <w:spacing w:line="232" w:lineRule="exact"/>
                      <w:ind w:left="5" w:right="2"/>
                      <w:jc w:val="center"/>
                    </w:pPr>
                    <w:r>
                      <w:fldChar w:fldCharType="begin"/>
                    </w:r>
                    <w:r>
                      <w:instrText xml:space="preserve"> PAGE </w:instrText>
                    </w:r>
                    <w:r>
                      <w:fldChar w:fldCharType="separate"/>
                    </w:r>
                    <w:r>
                      <w:t>10</w:t>
                    </w:r>
                    <w:r>
                      <w:fldChar w:fldCharType="end"/>
                    </w:r>
                  </w:p>
                  <w:p>
                    <w:pPr>
                      <w:spacing w:before="15"/>
                      <w:ind w:left="5" w:right="5"/>
                      <w:jc w:val="center"/>
                      <w:rPr>
                        <w:sz w:val="18"/>
                      </w:rPr>
                    </w:pPr>
                    <w:r>
                      <w:rPr>
                        <w:w w:val="95"/>
                        <w:sz w:val="18"/>
                      </w:rPr>
                      <w:t>Registered</w:t>
                    </w:r>
                    <w:r>
                      <w:rPr>
                        <w:spacing w:val="-28"/>
                        <w:w w:val="95"/>
                        <w:sz w:val="18"/>
                      </w:rPr>
                      <w:t xml:space="preserve"> </w:t>
                    </w:r>
                    <w:r>
                      <w:rPr>
                        <w:w w:val="95"/>
                        <w:sz w:val="18"/>
                      </w:rPr>
                      <w:t>in</w:t>
                    </w:r>
                    <w:r>
                      <w:rPr>
                        <w:spacing w:val="-26"/>
                        <w:w w:val="95"/>
                        <w:sz w:val="18"/>
                      </w:rPr>
                      <w:t xml:space="preserve"> </w:t>
                    </w:r>
                    <w:r>
                      <w:rPr>
                        <w:w w:val="95"/>
                        <w:sz w:val="18"/>
                      </w:rPr>
                      <w:t>the</w:t>
                    </w:r>
                    <w:r>
                      <w:rPr>
                        <w:spacing w:val="-27"/>
                        <w:w w:val="95"/>
                        <w:sz w:val="18"/>
                      </w:rPr>
                      <w:t xml:space="preserve"> </w:t>
                    </w:r>
                    <w:r>
                      <w:rPr>
                        <w:w w:val="95"/>
                        <w:sz w:val="18"/>
                      </w:rPr>
                      <w:t>Financial</w:t>
                    </w:r>
                    <w:r>
                      <w:rPr>
                        <w:spacing w:val="-27"/>
                        <w:w w:val="95"/>
                        <w:sz w:val="18"/>
                      </w:rPr>
                      <w:t xml:space="preserve"> </w:t>
                    </w:r>
                    <w:r>
                      <w:rPr>
                        <w:w w:val="95"/>
                        <w:sz w:val="18"/>
                      </w:rPr>
                      <w:t>Services</w:t>
                    </w:r>
                    <w:r>
                      <w:rPr>
                        <w:spacing w:val="-27"/>
                        <w:w w:val="95"/>
                        <w:sz w:val="18"/>
                      </w:rPr>
                      <w:t xml:space="preserve"> </w:t>
                    </w:r>
                    <w:r>
                      <w:rPr>
                        <w:w w:val="95"/>
                        <w:sz w:val="18"/>
                      </w:rPr>
                      <w:t>Authority</w:t>
                    </w:r>
                    <w:r>
                      <w:rPr>
                        <w:spacing w:val="-26"/>
                        <w:w w:val="95"/>
                        <w:sz w:val="18"/>
                      </w:rPr>
                      <w:t xml:space="preserve"> </w:t>
                    </w:r>
                    <w:r>
                      <w:rPr>
                        <w:w w:val="95"/>
                        <w:sz w:val="18"/>
                      </w:rPr>
                      <w:t>St.</w:t>
                    </w:r>
                    <w:r>
                      <w:rPr>
                        <w:spacing w:val="-27"/>
                        <w:w w:val="95"/>
                        <w:sz w:val="18"/>
                      </w:rPr>
                      <w:t xml:space="preserve"> </w:t>
                    </w:r>
                    <w:r>
                      <w:rPr>
                        <w:w w:val="95"/>
                        <w:sz w:val="18"/>
                      </w:rPr>
                      <w:t>Vincent</w:t>
                    </w:r>
                    <w:r>
                      <w:rPr>
                        <w:spacing w:val="-26"/>
                        <w:w w:val="95"/>
                        <w:sz w:val="18"/>
                      </w:rPr>
                      <w:t xml:space="preserve"> </w:t>
                    </w:r>
                    <w:r>
                      <w:rPr>
                        <w:w w:val="95"/>
                        <w:sz w:val="18"/>
                      </w:rPr>
                      <w:t>&amp;</w:t>
                    </w:r>
                    <w:r>
                      <w:rPr>
                        <w:spacing w:val="-27"/>
                        <w:w w:val="95"/>
                        <w:sz w:val="18"/>
                      </w:rPr>
                      <w:t xml:space="preserve"> </w:t>
                    </w:r>
                    <w:r>
                      <w:rPr>
                        <w:w w:val="95"/>
                        <w:sz w:val="18"/>
                      </w:rPr>
                      <w:t>the</w:t>
                    </w:r>
                    <w:r>
                      <w:rPr>
                        <w:spacing w:val="-25"/>
                        <w:w w:val="95"/>
                        <w:sz w:val="18"/>
                      </w:rPr>
                      <w:t xml:space="preserve"> </w:t>
                    </w:r>
                    <w:r>
                      <w:rPr>
                        <w:w w:val="95"/>
                        <w:sz w:val="18"/>
                      </w:rPr>
                      <w:t>Grenadines.</w:t>
                    </w:r>
                  </w:p>
                  <w:p>
                    <w:pPr>
                      <w:spacing w:before="13"/>
                      <w:ind w:left="5" w:right="3"/>
                      <w:jc w:val="center"/>
                      <w:rPr>
                        <w:sz w:val="18"/>
                      </w:rPr>
                    </w:pPr>
                    <w:r>
                      <w:rPr>
                        <w:sz w:val="18"/>
                      </w:rPr>
                      <w:t>Registration number 25515 BC 2019</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503308288" behindDoc="1" locked="0" layoutInCell="1" allowOverlap="1">
              <wp:simplePos x="0" y="0"/>
              <wp:positionH relativeFrom="page">
                <wp:posOffset>5629275</wp:posOffset>
              </wp:positionH>
              <wp:positionV relativeFrom="page">
                <wp:posOffset>342900</wp:posOffset>
              </wp:positionV>
              <wp:extent cx="1790700" cy="299720"/>
              <wp:effectExtent l="0" t="0" r="0" b="5080"/>
              <wp:wrapNone/>
              <wp:docPr id="3" name="Text Box 2"/>
              <wp:cNvGraphicFramePr/>
              <a:graphic xmlns:a="http://schemas.openxmlformats.org/drawingml/2006/main">
                <a:graphicData uri="http://schemas.microsoft.com/office/word/2010/wordprocessingShape">
                  <wps:wsp>
                    <wps:cNvSpPr txBox="1">
                      <a:spLocks noChangeArrowheads="1"/>
                    </wps:cNvSpPr>
                    <wps:spPr bwMode="auto">
                      <a:xfrm>
                        <a:off x="0" y="0"/>
                        <a:ext cx="1790700" cy="299720"/>
                      </a:xfrm>
                      <a:prstGeom prst="rect">
                        <a:avLst/>
                      </a:prstGeom>
                      <a:noFill/>
                      <a:ln>
                        <a:noFill/>
                      </a:ln>
                    </wps:spPr>
                    <wps:txbx>
                      <w:txbxContent>
                        <w:p>
                          <w:pPr>
                            <w:spacing w:line="203" w:lineRule="exact"/>
                            <w:jc w:val="right"/>
                            <w:rPr>
                              <w:sz w:val="18"/>
                            </w:rPr>
                          </w:pPr>
                          <w:r>
                            <w:rPr>
                              <w:sz w:val="18"/>
                            </w:rPr>
                            <w:t>Best Leader International Limited</w:t>
                          </w:r>
                        </w:p>
                        <w:p>
                          <w:pPr>
                            <w:spacing w:before="45"/>
                            <w:ind w:left="20"/>
                            <w:jc w:val="right"/>
                            <w:rPr>
                              <w:sz w:val="18"/>
                            </w:rPr>
                          </w:pPr>
                          <w:r>
                            <w:rPr>
                              <w:spacing w:val="-1"/>
                              <w:w w:val="90"/>
                              <w:sz w:val="18"/>
                            </w:rPr>
                            <w:t xml:space="preserve">Client </w:t>
                          </w:r>
                          <w:r>
                            <w:rPr>
                              <w:w w:val="90"/>
                              <w:sz w:val="18"/>
                            </w:rPr>
                            <w:t>Categorisation</w:t>
                          </w:r>
                          <w:r>
                            <w:rPr>
                              <w:spacing w:val="5"/>
                              <w:w w:val="90"/>
                              <w:sz w:val="18"/>
                            </w:rPr>
                            <w:t xml:space="preserve"> </w:t>
                          </w:r>
                          <w:r>
                            <w:rPr>
                              <w:w w:val="90"/>
                              <w:sz w:val="18"/>
                            </w:rPr>
                            <w:t>Policy</w:t>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443.25pt;margin-top:27pt;height:23.6pt;width:141pt;mso-position-horizontal-relative:page;mso-position-vertical-relative:page;z-index:-8192;mso-width-relative:page;mso-height-relative:page;" filled="f" stroked="f" coordsize="21600,21600" o:gfxdata="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D1zUS2QAAAAsB&#10;AAAPAAAAAAAAAAEAIAAAACIAAABkcnMvZG93bnJldi54bWxQSwECFAAUAAAACACHTuJA93JkAuEB&#10;AAC2AwAADgAAAAAAAAABACAAAAAoAQAAZHJzL2Uyb0RvYy54bWxQSwUGAAAAAAYABgBZAQAAewUA&#10;AAAA&#10;">
              <v:fill on="f" focussize="0,0"/>
              <v:stroke on="f"/>
              <v:imagedata o:title=""/>
              <o:lock v:ext="edit" aspectratio="f"/>
              <v:textbox inset="0mm,0mm,0mm,0mm">
                <w:txbxContent>
                  <w:p>
                    <w:pPr>
                      <w:spacing w:line="203" w:lineRule="exact"/>
                      <w:jc w:val="right"/>
                      <w:rPr>
                        <w:sz w:val="18"/>
                      </w:rPr>
                    </w:pPr>
                    <w:r>
                      <w:rPr>
                        <w:sz w:val="18"/>
                      </w:rPr>
                      <w:t>Best Leader International Limited</w:t>
                    </w:r>
                  </w:p>
                  <w:p>
                    <w:pPr>
                      <w:spacing w:before="45"/>
                      <w:ind w:left="20"/>
                      <w:jc w:val="right"/>
                      <w:rPr>
                        <w:sz w:val="18"/>
                      </w:rPr>
                    </w:pPr>
                    <w:r>
                      <w:rPr>
                        <w:spacing w:val="-1"/>
                        <w:w w:val="90"/>
                        <w:sz w:val="18"/>
                      </w:rPr>
                      <w:t xml:space="preserve">Client </w:t>
                    </w:r>
                    <w:r>
                      <w:rPr>
                        <w:w w:val="90"/>
                        <w:sz w:val="18"/>
                      </w:rPr>
                      <w:t>Categorisation</w:t>
                    </w:r>
                    <w:r>
                      <w:rPr>
                        <w:spacing w:val="5"/>
                        <w:w w:val="90"/>
                        <w:sz w:val="18"/>
                      </w:rPr>
                      <w:t xml:space="preserve"> </w:t>
                    </w:r>
                    <w:r>
                      <w:rPr>
                        <w:w w:val="90"/>
                        <w:sz w:val="18"/>
                      </w:rPr>
                      <w:t>Policy</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C458D"/>
    <w:multiLevelType w:val="multilevel"/>
    <w:tmpl w:val="0F7C458D"/>
    <w:lvl w:ilvl="0" w:tentative="0">
      <w:start w:val="1"/>
      <w:numFmt w:val="decimal"/>
      <w:lvlText w:val="%1."/>
      <w:lvlJc w:val="left"/>
      <w:pPr>
        <w:ind w:left="1879" w:hanging="440"/>
      </w:pPr>
      <w:rPr>
        <w:rFonts w:hint="default" w:ascii="Trebuchet MS" w:hAnsi="Trebuchet MS" w:eastAsia="Trebuchet MS" w:cs="Trebuchet MS"/>
        <w:b/>
        <w:bCs/>
        <w:color w:val="C00000"/>
        <w:w w:val="81"/>
        <w:sz w:val="24"/>
        <w:szCs w:val="24"/>
        <w:lang w:val="en-GB" w:eastAsia="en-GB" w:bidi="en-GB"/>
      </w:rPr>
    </w:lvl>
    <w:lvl w:ilvl="1" w:tentative="0">
      <w:start w:val="0"/>
      <w:numFmt w:val="bullet"/>
      <w:lvlText w:val="•"/>
      <w:lvlJc w:val="left"/>
      <w:pPr>
        <w:ind w:left="2916" w:hanging="440"/>
      </w:pPr>
      <w:rPr>
        <w:rFonts w:hint="default"/>
        <w:lang w:val="en-GB" w:eastAsia="en-GB" w:bidi="en-GB"/>
      </w:rPr>
    </w:lvl>
    <w:lvl w:ilvl="2" w:tentative="0">
      <w:start w:val="0"/>
      <w:numFmt w:val="bullet"/>
      <w:lvlText w:val="•"/>
      <w:lvlJc w:val="left"/>
      <w:pPr>
        <w:ind w:left="3952" w:hanging="440"/>
      </w:pPr>
      <w:rPr>
        <w:rFonts w:hint="default"/>
        <w:lang w:val="en-GB" w:eastAsia="en-GB" w:bidi="en-GB"/>
      </w:rPr>
    </w:lvl>
    <w:lvl w:ilvl="3" w:tentative="0">
      <w:start w:val="0"/>
      <w:numFmt w:val="bullet"/>
      <w:lvlText w:val="•"/>
      <w:lvlJc w:val="left"/>
      <w:pPr>
        <w:ind w:left="4988" w:hanging="440"/>
      </w:pPr>
      <w:rPr>
        <w:rFonts w:hint="default"/>
        <w:lang w:val="en-GB" w:eastAsia="en-GB" w:bidi="en-GB"/>
      </w:rPr>
    </w:lvl>
    <w:lvl w:ilvl="4" w:tentative="0">
      <w:start w:val="0"/>
      <w:numFmt w:val="bullet"/>
      <w:lvlText w:val="•"/>
      <w:lvlJc w:val="left"/>
      <w:pPr>
        <w:ind w:left="6024" w:hanging="440"/>
      </w:pPr>
      <w:rPr>
        <w:rFonts w:hint="default"/>
        <w:lang w:val="en-GB" w:eastAsia="en-GB" w:bidi="en-GB"/>
      </w:rPr>
    </w:lvl>
    <w:lvl w:ilvl="5" w:tentative="0">
      <w:start w:val="0"/>
      <w:numFmt w:val="bullet"/>
      <w:lvlText w:val="•"/>
      <w:lvlJc w:val="left"/>
      <w:pPr>
        <w:ind w:left="7060" w:hanging="440"/>
      </w:pPr>
      <w:rPr>
        <w:rFonts w:hint="default"/>
        <w:lang w:val="en-GB" w:eastAsia="en-GB" w:bidi="en-GB"/>
      </w:rPr>
    </w:lvl>
    <w:lvl w:ilvl="6" w:tentative="0">
      <w:start w:val="0"/>
      <w:numFmt w:val="bullet"/>
      <w:lvlText w:val="•"/>
      <w:lvlJc w:val="left"/>
      <w:pPr>
        <w:ind w:left="8096" w:hanging="440"/>
      </w:pPr>
      <w:rPr>
        <w:rFonts w:hint="default"/>
        <w:lang w:val="en-GB" w:eastAsia="en-GB" w:bidi="en-GB"/>
      </w:rPr>
    </w:lvl>
    <w:lvl w:ilvl="7" w:tentative="0">
      <w:start w:val="0"/>
      <w:numFmt w:val="bullet"/>
      <w:lvlText w:val="•"/>
      <w:lvlJc w:val="left"/>
      <w:pPr>
        <w:ind w:left="9132" w:hanging="440"/>
      </w:pPr>
      <w:rPr>
        <w:rFonts w:hint="default"/>
        <w:lang w:val="en-GB" w:eastAsia="en-GB" w:bidi="en-GB"/>
      </w:rPr>
    </w:lvl>
    <w:lvl w:ilvl="8" w:tentative="0">
      <w:start w:val="0"/>
      <w:numFmt w:val="bullet"/>
      <w:lvlText w:val="•"/>
      <w:lvlJc w:val="left"/>
      <w:pPr>
        <w:ind w:left="10168" w:hanging="440"/>
      </w:pPr>
      <w:rPr>
        <w:rFonts w:hint="default"/>
        <w:lang w:val="en-GB" w:eastAsia="en-GB" w:bidi="en-GB"/>
      </w:rPr>
    </w:lvl>
  </w:abstractNum>
  <w:abstractNum w:abstractNumId="1">
    <w:nsid w:val="54C0231E"/>
    <w:multiLevelType w:val="multilevel"/>
    <w:tmpl w:val="54C0231E"/>
    <w:lvl w:ilvl="0" w:tentative="0">
      <w:start w:val="1"/>
      <w:numFmt w:val="decimal"/>
      <w:lvlText w:val="%1."/>
      <w:lvlJc w:val="left"/>
      <w:pPr>
        <w:ind w:left="1417" w:hanging="567"/>
      </w:pPr>
      <w:rPr>
        <w:rFonts w:hint="default"/>
        <w:b/>
        <w:bCs/>
        <w:w w:val="81"/>
        <w:lang w:val="en-GB" w:eastAsia="en-GB" w:bidi="en-GB"/>
      </w:rPr>
    </w:lvl>
    <w:lvl w:ilvl="1" w:tentative="0">
      <w:start w:val="1"/>
      <w:numFmt w:val="decimal"/>
      <w:lvlText w:val="%1.%2."/>
      <w:lvlJc w:val="left"/>
      <w:pPr>
        <w:ind w:left="1984" w:hanging="567"/>
      </w:pPr>
      <w:rPr>
        <w:rFonts w:hint="default" w:ascii="Arial" w:hAnsi="Arial" w:eastAsia="Arial" w:cs="Arial"/>
        <w:w w:val="90"/>
        <w:sz w:val="24"/>
        <w:szCs w:val="24"/>
        <w:lang w:val="en-GB" w:eastAsia="en-GB" w:bidi="en-GB"/>
      </w:rPr>
    </w:lvl>
    <w:lvl w:ilvl="2" w:tentative="0">
      <w:start w:val="1"/>
      <w:numFmt w:val="lowerLetter"/>
      <w:lvlText w:val="(%3)"/>
      <w:lvlJc w:val="left"/>
      <w:pPr>
        <w:ind w:left="1845" w:hanging="428"/>
      </w:pPr>
      <w:rPr>
        <w:rFonts w:hint="default" w:ascii="Arial" w:hAnsi="Arial" w:eastAsia="Arial" w:cs="Arial"/>
        <w:spacing w:val="-1"/>
        <w:w w:val="88"/>
        <w:sz w:val="24"/>
        <w:szCs w:val="24"/>
        <w:lang w:val="en-GB" w:eastAsia="en-GB" w:bidi="en-GB"/>
      </w:rPr>
    </w:lvl>
    <w:lvl w:ilvl="3" w:tentative="0">
      <w:start w:val="0"/>
      <w:numFmt w:val="bullet"/>
      <w:lvlText w:val=""/>
      <w:lvlJc w:val="left"/>
      <w:pPr>
        <w:ind w:left="2128" w:hanging="284"/>
      </w:pPr>
      <w:rPr>
        <w:rFonts w:hint="default" w:ascii="Symbol" w:hAnsi="Symbol" w:eastAsia="Symbol" w:cs="Symbol"/>
        <w:w w:val="100"/>
        <w:sz w:val="24"/>
        <w:szCs w:val="24"/>
        <w:lang w:val="en-GB" w:eastAsia="en-GB" w:bidi="en-GB"/>
      </w:rPr>
    </w:lvl>
    <w:lvl w:ilvl="4" w:tentative="0">
      <w:start w:val="0"/>
      <w:numFmt w:val="bullet"/>
      <w:lvlText w:val="•"/>
      <w:lvlJc w:val="left"/>
      <w:pPr>
        <w:ind w:left="2131" w:hanging="284"/>
      </w:pPr>
      <w:rPr>
        <w:rFonts w:hint="default"/>
        <w:lang w:val="en-GB" w:eastAsia="en-GB" w:bidi="en-GB"/>
      </w:rPr>
    </w:lvl>
    <w:lvl w:ilvl="5" w:tentative="0">
      <w:start w:val="0"/>
      <w:numFmt w:val="bullet"/>
      <w:lvlText w:val="•"/>
      <w:lvlJc w:val="left"/>
      <w:pPr>
        <w:ind w:left="3717" w:hanging="284"/>
      </w:pPr>
      <w:rPr>
        <w:rFonts w:hint="default"/>
        <w:lang w:val="en-GB" w:eastAsia="en-GB" w:bidi="en-GB"/>
      </w:rPr>
    </w:lvl>
    <w:lvl w:ilvl="6" w:tentative="0">
      <w:start w:val="0"/>
      <w:numFmt w:val="bullet"/>
      <w:lvlText w:val="•"/>
      <w:lvlJc w:val="left"/>
      <w:pPr>
        <w:ind w:left="5304" w:hanging="284"/>
      </w:pPr>
      <w:rPr>
        <w:rFonts w:hint="default"/>
        <w:lang w:val="en-GB" w:eastAsia="en-GB" w:bidi="en-GB"/>
      </w:rPr>
    </w:lvl>
    <w:lvl w:ilvl="7" w:tentative="0">
      <w:start w:val="0"/>
      <w:numFmt w:val="bullet"/>
      <w:lvlText w:val="•"/>
      <w:lvlJc w:val="left"/>
      <w:pPr>
        <w:ind w:left="6891" w:hanging="284"/>
      </w:pPr>
      <w:rPr>
        <w:rFonts w:hint="default"/>
        <w:lang w:val="en-GB" w:eastAsia="en-GB" w:bidi="en-GB"/>
      </w:rPr>
    </w:lvl>
    <w:lvl w:ilvl="8" w:tentative="0">
      <w:start w:val="0"/>
      <w:numFmt w:val="bullet"/>
      <w:lvlText w:val="•"/>
      <w:lvlJc w:val="left"/>
      <w:pPr>
        <w:ind w:left="8477" w:hanging="284"/>
      </w:pPr>
      <w:rPr>
        <w:rFonts w:hint="default"/>
        <w:lang w:val="en-GB" w:eastAsia="en-GB" w:bidi="en-GB"/>
      </w:rPr>
    </w:lvl>
  </w:abstractNum>
  <w:abstractNum w:abstractNumId="2">
    <w:nsid w:val="604B7257"/>
    <w:multiLevelType w:val="multilevel"/>
    <w:tmpl w:val="604B7257"/>
    <w:lvl w:ilvl="0" w:tentative="0">
      <w:start w:val="6"/>
      <w:numFmt w:val="decimal"/>
      <w:lvlText w:val="%1."/>
      <w:lvlJc w:val="left"/>
      <w:pPr>
        <w:ind w:left="2006" w:hanging="567"/>
      </w:pPr>
      <w:rPr>
        <w:rFonts w:hint="default" w:ascii="Trebuchet MS" w:hAnsi="Trebuchet MS" w:eastAsia="Trebuchet MS" w:cs="Trebuchet MS"/>
        <w:b/>
        <w:bCs/>
        <w:color w:val="C00000"/>
        <w:w w:val="81"/>
        <w:sz w:val="24"/>
        <w:szCs w:val="24"/>
        <w:lang w:val="en-GB" w:eastAsia="en-GB" w:bidi="en-GB"/>
      </w:rPr>
    </w:lvl>
    <w:lvl w:ilvl="1" w:tentative="0">
      <w:start w:val="1"/>
      <w:numFmt w:val="decimal"/>
      <w:lvlText w:val="%1.%2."/>
      <w:lvlJc w:val="left"/>
      <w:pPr>
        <w:ind w:left="2006" w:hanging="567"/>
      </w:pPr>
      <w:rPr>
        <w:rFonts w:hint="default" w:ascii="Arial" w:hAnsi="Arial" w:eastAsia="Arial" w:cs="Arial"/>
        <w:w w:val="90"/>
        <w:sz w:val="24"/>
        <w:szCs w:val="24"/>
        <w:lang w:val="en-GB" w:eastAsia="en-GB" w:bidi="en-GB"/>
      </w:rPr>
    </w:lvl>
    <w:lvl w:ilvl="2" w:tentative="0">
      <w:start w:val="1"/>
      <w:numFmt w:val="lowerLetter"/>
      <w:lvlText w:val="(%3)"/>
      <w:lvlJc w:val="left"/>
      <w:pPr>
        <w:ind w:left="2434" w:hanging="428"/>
        <w:jc w:val="right"/>
      </w:pPr>
      <w:rPr>
        <w:rFonts w:hint="default" w:ascii="Arial" w:hAnsi="Arial" w:eastAsia="Arial" w:cs="Arial"/>
        <w:spacing w:val="-1"/>
        <w:w w:val="88"/>
        <w:sz w:val="24"/>
        <w:szCs w:val="24"/>
        <w:lang w:val="en-GB" w:eastAsia="en-GB" w:bidi="en-GB"/>
      </w:rPr>
    </w:lvl>
    <w:lvl w:ilvl="3" w:tentative="0">
      <w:start w:val="0"/>
      <w:numFmt w:val="bullet"/>
      <w:lvlText w:val="•"/>
      <w:lvlJc w:val="left"/>
      <w:pPr>
        <w:ind w:left="4617" w:hanging="428"/>
      </w:pPr>
      <w:rPr>
        <w:rFonts w:hint="default"/>
        <w:lang w:val="en-GB" w:eastAsia="en-GB" w:bidi="en-GB"/>
      </w:rPr>
    </w:lvl>
    <w:lvl w:ilvl="4" w:tentative="0">
      <w:start w:val="0"/>
      <w:numFmt w:val="bullet"/>
      <w:lvlText w:val="•"/>
      <w:lvlJc w:val="left"/>
      <w:pPr>
        <w:ind w:left="5706" w:hanging="428"/>
      </w:pPr>
      <w:rPr>
        <w:rFonts w:hint="default"/>
        <w:lang w:val="en-GB" w:eastAsia="en-GB" w:bidi="en-GB"/>
      </w:rPr>
    </w:lvl>
    <w:lvl w:ilvl="5" w:tentative="0">
      <w:start w:val="0"/>
      <w:numFmt w:val="bullet"/>
      <w:lvlText w:val="•"/>
      <w:lvlJc w:val="left"/>
      <w:pPr>
        <w:ind w:left="6795" w:hanging="428"/>
      </w:pPr>
      <w:rPr>
        <w:rFonts w:hint="default"/>
        <w:lang w:val="en-GB" w:eastAsia="en-GB" w:bidi="en-GB"/>
      </w:rPr>
    </w:lvl>
    <w:lvl w:ilvl="6" w:tentative="0">
      <w:start w:val="0"/>
      <w:numFmt w:val="bullet"/>
      <w:lvlText w:val="•"/>
      <w:lvlJc w:val="left"/>
      <w:pPr>
        <w:ind w:left="7884" w:hanging="428"/>
      </w:pPr>
      <w:rPr>
        <w:rFonts w:hint="default"/>
        <w:lang w:val="en-GB" w:eastAsia="en-GB" w:bidi="en-GB"/>
      </w:rPr>
    </w:lvl>
    <w:lvl w:ilvl="7" w:tentative="0">
      <w:start w:val="0"/>
      <w:numFmt w:val="bullet"/>
      <w:lvlText w:val="•"/>
      <w:lvlJc w:val="left"/>
      <w:pPr>
        <w:ind w:left="8973" w:hanging="428"/>
      </w:pPr>
      <w:rPr>
        <w:rFonts w:hint="default"/>
        <w:lang w:val="en-GB" w:eastAsia="en-GB" w:bidi="en-GB"/>
      </w:rPr>
    </w:lvl>
    <w:lvl w:ilvl="8" w:tentative="0">
      <w:start w:val="0"/>
      <w:numFmt w:val="bullet"/>
      <w:lvlText w:val="•"/>
      <w:lvlJc w:val="left"/>
      <w:pPr>
        <w:ind w:left="10062" w:hanging="428"/>
      </w:pPr>
      <w:rPr>
        <w:rFonts w:hint="default"/>
        <w:lang w:val="en-GB" w:eastAsia="en-GB" w:bidi="en-G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68"/>
    <w:rsid w:val="00054D47"/>
    <w:rsid w:val="00081504"/>
    <w:rsid w:val="003940FE"/>
    <w:rsid w:val="003A2280"/>
    <w:rsid w:val="00422910"/>
    <w:rsid w:val="0061423A"/>
    <w:rsid w:val="00684108"/>
    <w:rsid w:val="00763177"/>
    <w:rsid w:val="00844022"/>
    <w:rsid w:val="008F3F95"/>
    <w:rsid w:val="00937E96"/>
    <w:rsid w:val="00A115E3"/>
    <w:rsid w:val="00A14B86"/>
    <w:rsid w:val="00B403E2"/>
    <w:rsid w:val="00B4578F"/>
    <w:rsid w:val="00B63E9C"/>
    <w:rsid w:val="00DF1885"/>
    <w:rsid w:val="00FC5268"/>
    <w:rsid w:val="00FD1D14"/>
    <w:rsid w:val="01F8526B"/>
    <w:rsid w:val="691A43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Arial" w:hAnsi="Arial" w:eastAsia="Arial" w:cs="Arial"/>
      <w:sz w:val="22"/>
      <w:szCs w:val="22"/>
      <w:lang w:val="en-GB" w:eastAsia="en-GB" w:bidi="en-GB"/>
    </w:rPr>
  </w:style>
  <w:style w:type="paragraph" w:styleId="2">
    <w:name w:val="heading 1"/>
    <w:basedOn w:val="1"/>
    <w:next w:val="1"/>
    <w:qFormat/>
    <w:uiPriority w:val="9"/>
    <w:pPr>
      <w:ind w:left="2006" w:hanging="566"/>
      <w:outlineLvl w:val="0"/>
    </w:pPr>
    <w:rPr>
      <w:rFonts w:ascii="Trebuchet MS" w:hAnsi="Trebuchet MS" w:eastAsia="Trebuchet MS" w:cs="Trebuchet MS"/>
      <w:b/>
      <w:bCs/>
      <w:sz w:val="24"/>
      <w:szCs w:val="24"/>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qFormat/>
    <w:uiPriority w:val="1"/>
    <w:rPr>
      <w:sz w:val="24"/>
      <w:szCs w:val="24"/>
    </w:rPr>
  </w:style>
  <w:style w:type="paragraph" w:styleId="4">
    <w:name w:val="footer"/>
    <w:basedOn w:val="1"/>
    <w:link w:val="14"/>
    <w:unhideWhenUsed/>
    <w:qFormat/>
    <w:uiPriority w:val="99"/>
    <w:pPr>
      <w:tabs>
        <w:tab w:val="center" w:pos="4153"/>
        <w:tab w:val="right" w:pos="8306"/>
      </w:tabs>
      <w:snapToGrid w:val="0"/>
    </w:pPr>
    <w:rPr>
      <w:sz w:val="20"/>
      <w:szCs w:val="20"/>
    </w:rPr>
  </w:style>
  <w:style w:type="paragraph" w:styleId="5">
    <w:name w:val="header"/>
    <w:basedOn w:val="1"/>
    <w:link w:val="13"/>
    <w:unhideWhenUsed/>
    <w:qFormat/>
    <w:uiPriority w:val="99"/>
    <w:pPr>
      <w:tabs>
        <w:tab w:val="center" w:pos="4153"/>
        <w:tab w:val="right" w:pos="8306"/>
      </w:tabs>
      <w:snapToGrid w:val="0"/>
    </w:pPr>
    <w:rPr>
      <w:sz w:val="20"/>
      <w:szCs w:val="20"/>
    </w:rPr>
  </w:style>
  <w:style w:type="paragraph" w:styleId="6">
    <w:name w:val="toc 1"/>
    <w:basedOn w:val="1"/>
    <w:next w:val="1"/>
    <w:qFormat/>
    <w:uiPriority w:val="1"/>
    <w:pPr>
      <w:spacing w:before="261"/>
      <w:ind w:left="1879" w:hanging="439"/>
    </w:pPr>
    <w:rPr>
      <w:rFonts w:ascii="Trebuchet MS" w:hAnsi="Trebuchet MS" w:eastAsia="Trebuchet MS" w:cs="Trebuchet MS"/>
      <w:b/>
      <w:bCs/>
      <w:sz w:val="24"/>
      <w:szCs w:val="24"/>
    </w:rPr>
  </w:style>
  <w:style w:type="character" w:styleId="9">
    <w:name w:val="Hyperlink"/>
    <w:basedOn w:val="8"/>
    <w:semiHidden/>
    <w:unhideWhenUsed/>
    <w:qFormat/>
    <w:uiPriority w:val="99"/>
    <w:rPr>
      <w:color w:val="0000FF"/>
      <w:u w:val="single"/>
    </w:rPr>
  </w:style>
  <w:style w:type="table" w:customStyle="1" w:styleId="10">
    <w:name w:val="Table Normal"/>
    <w:semiHidden/>
    <w:unhideWhenUsed/>
    <w:qFormat/>
    <w:uiPriority w:val="2"/>
    <w:tblPr>
      <w:tblLayout w:type="fixed"/>
      <w:tblCellMar>
        <w:top w:w="0" w:type="dxa"/>
        <w:left w:w="0" w:type="dxa"/>
        <w:bottom w:w="0" w:type="dxa"/>
        <w:right w:w="0" w:type="dxa"/>
      </w:tblCellMar>
    </w:tblPr>
  </w:style>
  <w:style w:type="paragraph" w:styleId="11">
    <w:name w:val="List Paragraph"/>
    <w:basedOn w:val="1"/>
    <w:qFormat/>
    <w:uiPriority w:val="1"/>
    <w:pPr>
      <w:ind w:left="2434" w:hanging="428"/>
    </w:pPr>
  </w:style>
  <w:style w:type="paragraph" w:customStyle="1" w:styleId="12">
    <w:name w:val="Table Paragraph"/>
    <w:basedOn w:val="1"/>
    <w:qFormat/>
    <w:uiPriority w:val="1"/>
  </w:style>
  <w:style w:type="character" w:customStyle="1" w:styleId="13">
    <w:name w:val="頁首 字元"/>
    <w:basedOn w:val="8"/>
    <w:link w:val="5"/>
    <w:uiPriority w:val="99"/>
    <w:rPr>
      <w:rFonts w:ascii="Arial" w:hAnsi="Arial" w:eastAsia="Arial" w:cs="Arial"/>
      <w:sz w:val="20"/>
      <w:szCs w:val="20"/>
      <w:lang w:val="en-GB" w:eastAsia="en-GB" w:bidi="en-GB"/>
    </w:rPr>
  </w:style>
  <w:style w:type="character" w:customStyle="1" w:styleId="14">
    <w:name w:val="頁尾 字元"/>
    <w:basedOn w:val="8"/>
    <w:link w:val="4"/>
    <w:qFormat/>
    <w:uiPriority w:val="99"/>
    <w:rPr>
      <w:rFonts w:ascii="Arial" w:hAnsi="Arial" w:eastAsia="Arial" w:cs="Arial"/>
      <w:sz w:val="20"/>
      <w:szCs w:val="20"/>
      <w:lang w:val="en-GB" w:eastAsia="en-GB" w:bidi="en-GB"/>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2510</Words>
  <Characters>14310</Characters>
  <Lines>119</Lines>
  <Paragraphs>33</Paragraphs>
  <TotalTime>57</TotalTime>
  <ScaleCrop>false</ScaleCrop>
  <LinksUpToDate>false</LinksUpToDate>
  <CharactersWithSpaces>16787</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2019-09-18T10:04:00Z</dcterms:created>
  <dc:creator>George Koumandaris</dc:creator>
  <cp:lastModifiedBy>芷瑩Winnie</cp:lastModifiedBy>
  <dcterms:modified xsi:type="dcterms:W3CDTF">2019-10-10T09:30:23Z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MicrosoftÃ‚Â® Word for Office 365</vt:lpwstr>
  </property>
  <property fmtid="{D5CDD505-2E9C-101B-9397-08002B2CF9AE}" pid="4" name="LastSaved">
    <vt:filetime>2019-09-18T00:00:00Z</vt:filetime>
  </property>
  <property fmtid="{D5CDD505-2E9C-101B-9397-08002B2CF9AE}" pid="5" name="KSOProductBuildVer">
    <vt:lpwstr>2052-11.1.0.9098</vt:lpwstr>
  </property>
</Properties>
</file>